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EAB" w:rsidRPr="009C2CFB" w:rsidRDefault="00225EAB" w:rsidP="00225EAB">
      <w:pPr>
        <w:pStyle w:val="2"/>
        <w:numPr>
          <w:ilvl w:val="0"/>
          <w:numId w:val="0"/>
        </w:numPr>
        <w:ind w:left="792"/>
        <w:jc w:val="center"/>
        <w:rPr>
          <w:i w:val="0"/>
          <w:color w:val="FF0000"/>
          <w:sz w:val="44"/>
        </w:rPr>
      </w:pPr>
      <w:r w:rsidRPr="00225EAB">
        <w:rPr>
          <w:rFonts w:cs="Times New Roman"/>
          <w:i w:val="0"/>
          <w:color w:val="984806" w:themeColor="accent6" w:themeShade="80"/>
          <w:szCs w:val="32"/>
        </w:rPr>
        <w:t>Лекция</w:t>
      </w:r>
      <w:r>
        <w:rPr>
          <w:rFonts w:cs="Times New Roman"/>
          <w:b w:val="0"/>
          <w:i w:val="0"/>
          <w:color w:val="984806" w:themeColor="accent6" w:themeShade="80"/>
          <w:szCs w:val="32"/>
        </w:rPr>
        <w:t xml:space="preserve"> </w:t>
      </w:r>
      <w:r w:rsidRPr="00225EAB">
        <w:rPr>
          <w:rFonts w:cs="Times New Roman"/>
          <w:i w:val="0"/>
          <w:color w:val="984806" w:themeColor="accent6" w:themeShade="80"/>
          <w:szCs w:val="32"/>
        </w:rPr>
        <w:t>2</w:t>
      </w:r>
      <w:r>
        <w:rPr>
          <w:rFonts w:cs="Times New Roman"/>
          <w:b w:val="0"/>
          <w:i w:val="0"/>
          <w:color w:val="984806" w:themeColor="accent6" w:themeShade="80"/>
          <w:szCs w:val="32"/>
        </w:rPr>
        <w:t xml:space="preserve"> </w:t>
      </w:r>
      <w:r w:rsidRPr="00225EAB">
        <w:rPr>
          <w:i w:val="0"/>
          <w:color w:val="943634" w:themeColor="accent2" w:themeShade="BF"/>
          <w:sz w:val="32"/>
        </w:rPr>
        <w:t>Расчет строительных конструкций по методу «Предельных состояний»</w:t>
      </w:r>
    </w:p>
    <w:p w:rsidR="00225EAB" w:rsidRDefault="00225EAB" w:rsidP="00225EAB">
      <w:pPr>
        <w:rPr>
          <w:rFonts w:ascii="Times New Roman" w:hAnsi="Times New Roman" w:cs="Times New Roman"/>
          <w:b/>
          <w:i/>
          <w:color w:val="984806" w:themeColor="accent6" w:themeShade="80"/>
          <w:sz w:val="36"/>
          <w:szCs w:val="32"/>
        </w:rPr>
      </w:pPr>
      <w:r>
        <w:rPr>
          <w:rFonts w:ascii="Times New Roman" w:hAnsi="Times New Roman" w:cs="Times New Roman"/>
          <w:b/>
          <w:i/>
          <w:color w:val="984806" w:themeColor="accent6" w:themeShade="80"/>
          <w:sz w:val="36"/>
          <w:szCs w:val="32"/>
        </w:rPr>
        <w:t>Продолжение, расчёты по формулам</w:t>
      </w:r>
    </w:p>
    <w:p w:rsidR="00225EAB" w:rsidRDefault="00225EAB" w:rsidP="00225EAB">
      <w:pPr>
        <w:rPr>
          <w:rFonts w:ascii="Times New Roman" w:hAnsi="Times New Roman" w:cs="Times New Roman"/>
          <w:b/>
          <w:i/>
          <w:color w:val="984806" w:themeColor="accent6" w:themeShade="80"/>
          <w:sz w:val="36"/>
          <w:szCs w:val="32"/>
        </w:rPr>
      </w:pP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color w:val="984806" w:themeColor="accent6" w:themeShade="80"/>
          <w:sz w:val="36"/>
          <w:szCs w:val="32"/>
        </w:rPr>
      </w:pPr>
      <w:r w:rsidRPr="00225EAB">
        <w:rPr>
          <w:rFonts w:ascii="Times New Roman" w:hAnsi="Times New Roman" w:cs="Times New Roman"/>
          <w:b/>
          <w:i/>
          <w:color w:val="984806" w:themeColor="accent6" w:themeShade="80"/>
          <w:sz w:val="36"/>
          <w:szCs w:val="32"/>
        </w:rPr>
        <w:t>Первое предельное состояние для растянутых и сжатых элементов выражается соотношением:</w:t>
      </w: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</w:rPr>
      </w:pPr>
    </w:p>
    <w:tbl>
      <w:tblPr>
        <w:tblStyle w:val="a3"/>
        <w:tblW w:w="0" w:type="auto"/>
        <w:tblLook w:val="01E0"/>
      </w:tblPr>
      <w:tblGrid>
        <w:gridCol w:w="8370"/>
        <w:gridCol w:w="1201"/>
      </w:tblGrid>
      <w:tr w:rsidR="00225EAB" w:rsidRPr="00225EAB" w:rsidTr="00C7521E">
        <w:tc>
          <w:tcPr>
            <w:tcW w:w="8568" w:type="dxa"/>
            <w:tcBorders>
              <w:top w:val="nil"/>
              <w:left w:val="nil"/>
              <w:bottom w:val="nil"/>
              <w:right w:val="nil"/>
            </w:tcBorders>
          </w:tcPr>
          <w:p w:rsidR="00225EAB" w:rsidRPr="00225EAB" w:rsidRDefault="00225EAB" w:rsidP="00C7521E">
            <w:pPr>
              <w:rPr>
                <w:b/>
                <w:i/>
                <w:color w:val="0F243E" w:themeColor="text2" w:themeShade="80"/>
                <w:sz w:val="36"/>
                <w:lang w:val="en-US"/>
              </w:rPr>
            </w:pPr>
            <w:r w:rsidRPr="00225EAB">
              <w:rPr>
                <w:b/>
                <w:i/>
                <w:color w:val="0F243E" w:themeColor="text2" w:themeShade="80"/>
                <w:position w:val="-30"/>
                <w:sz w:val="40"/>
                <w:lang w:eastAsia="en-US"/>
              </w:rPr>
              <w:object w:dxaOrig="11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4.5pt;height:44.45pt" o:ole="">
                  <v:imagedata r:id="rId5" o:title=""/>
                </v:shape>
                <o:OLEObject Type="Embed" ProgID="Equation.3" ShapeID="_x0000_i1025" DrawAspect="Content" ObjectID="_1803470960" r:id="rId6"/>
              </w:objec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</w:tcPr>
          <w:p w:rsidR="00225EAB" w:rsidRPr="00225EAB" w:rsidRDefault="00225EAB" w:rsidP="00C7521E">
            <w:pPr>
              <w:rPr>
                <w:b/>
                <w:i/>
                <w:color w:val="0F243E" w:themeColor="text2" w:themeShade="80"/>
                <w:sz w:val="36"/>
                <w:lang w:val="en-US"/>
              </w:rPr>
            </w:pPr>
            <w:bookmarkStart w:id="0" w:name="_Ref211253983"/>
            <w:r w:rsidRPr="00225EAB">
              <w:rPr>
                <w:b/>
                <w:i/>
                <w:color w:val="0F243E" w:themeColor="text2" w:themeShade="80"/>
                <w:sz w:val="36"/>
              </w:rPr>
              <w:t xml:space="preserve">( </w:t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fldChar w:fldCharType="begin"/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instrText xml:space="preserve"> STYLEREF 1 \s </w:instrText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fldChar w:fldCharType="separate"/>
            </w:r>
            <w:r w:rsidRPr="00225EAB">
              <w:rPr>
                <w:b/>
                <w:i/>
                <w:noProof/>
                <w:color w:val="0F243E" w:themeColor="text2" w:themeShade="80"/>
                <w:sz w:val="36"/>
              </w:rPr>
              <w:t>2</w:t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fldChar w:fldCharType="end"/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t>.</w:t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fldChar w:fldCharType="begin"/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instrText xml:space="preserve"> SEQ ( \* ARABIC \s 1 </w:instrText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fldChar w:fldCharType="separate"/>
            </w:r>
            <w:r w:rsidRPr="00225EAB">
              <w:rPr>
                <w:b/>
                <w:i/>
                <w:noProof/>
                <w:color w:val="0F243E" w:themeColor="text2" w:themeShade="80"/>
                <w:sz w:val="36"/>
              </w:rPr>
              <w:t>4</w:t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fldChar w:fldCharType="end"/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t>)</w:t>
            </w:r>
            <w:bookmarkEnd w:id="0"/>
          </w:p>
        </w:tc>
      </w:tr>
    </w:tbl>
    <w:p w:rsidR="00225EAB" w:rsidRPr="00225EAB" w:rsidRDefault="00225EAB" w:rsidP="00225EAB">
      <w:pPr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</w:rPr>
      </w:pPr>
      <w:r w:rsidRPr="00225EAB"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</w:rPr>
        <w:t xml:space="preserve">При расчете на прочность растянутых </w:t>
      </w:r>
      <w:proofErr w:type="gramStart"/>
      <w:r w:rsidRPr="00225EAB"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</w:rPr>
        <w:t>элементов</w:t>
      </w:r>
      <w:proofErr w:type="gramEnd"/>
      <w:r w:rsidRPr="00225EAB"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</w:rPr>
        <w:t xml:space="preserve"> эксплуатация которых возможна и после достижения металлом предела текучести:</w:t>
      </w: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</w:rPr>
      </w:pPr>
    </w:p>
    <w:tbl>
      <w:tblPr>
        <w:tblStyle w:val="a3"/>
        <w:tblW w:w="0" w:type="auto"/>
        <w:tblLook w:val="01E0"/>
      </w:tblPr>
      <w:tblGrid>
        <w:gridCol w:w="8370"/>
        <w:gridCol w:w="1201"/>
      </w:tblGrid>
      <w:tr w:rsidR="00225EAB" w:rsidRPr="00225EAB" w:rsidTr="00C7521E">
        <w:tc>
          <w:tcPr>
            <w:tcW w:w="8568" w:type="dxa"/>
            <w:tcBorders>
              <w:top w:val="nil"/>
              <w:left w:val="nil"/>
              <w:bottom w:val="nil"/>
              <w:right w:val="nil"/>
            </w:tcBorders>
          </w:tcPr>
          <w:p w:rsidR="00225EAB" w:rsidRPr="00225EAB" w:rsidRDefault="00225EAB" w:rsidP="00C7521E">
            <w:pPr>
              <w:rPr>
                <w:b/>
                <w:i/>
                <w:color w:val="0F243E" w:themeColor="text2" w:themeShade="80"/>
                <w:sz w:val="36"/>
                <w:lang w:val="en-US"/>
              </w:rPr>
            </w:pPr>
            <w:r w:rsidRPr="00225EAB">
              <w:rPr>
                <w:b/>
                <w:i/>
                <w:color w:val="0F243E" w:themeColor="text2" w:themeShade="80"/>
                <w:position w:val="-30"/>
                <w:sz w:val="36"/>
                <w:lang w:eastAsia="en-US"/>
              </w:rPr>
              <w:object w:dxaOrig="1199" w:dyaOrig="680">
                <v:shape id="_x0000_i1026" type="#_x0000_t75" style="width:80.15pt;height:44.45pt" o:ole="">
                  <v:imagedata r:id="rId7" o:title=""/>
                </v:shape>
                <o:OLEObject Type="Embed" ProgID="Equation.3" ShapeID="_x0000_i1026" DrawAspect="Content" ObjectID="_1803470961" r:id="rId8"/>
              </w:objec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</w:tcPr>
          <w:p w:rsidR="00225EAB" w:rsidRPr="00225EAB" w:rsidRDefault="00225EAB" w:rsidP="00C7521E">
            <w:pPr>
              <w:rPr>
                <w:b/>
                <w:i/>
                <w:color w:val="0F243E" w:themeColor="text2" w:themeShade="80"/>
                <w:sz w:val="36"/>
                <w:lang w:val="en-US"/>
              </w:rPr>
            </w:pPr>
            <w:bookmarkStart w:id="1" w:name="_Ref211253986"/>
            <w:r w:rsidRPr="00225EAB">
              <w:rPr>
                <w:b/>
                <w:i/>
                <w:color w:val="0F243E" w:themeColor="text2" w:themeShade="80"/>
                <w:sz w:val="36"/>
              </w:rPr>
              <w:t xml:space="preserve">( </w:t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fldChar w:fldCharType="begin"/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instrText xml:space="preserve"> STYLEREF 1 \s </w:instrText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fldChar w:fldCharType="separate"/>
            </w:r>
            <w:r w:rsidRPr="00225EAB">
              <w:rPr>
                <w:b/>
                <w:i/>
                <w:noProof/>
                <w:color w:val="0F243E" w:themeColor="text2" w:themeShade="80"/>
                <w:sz w:val="36"/>
              </w:rPr>
              <w:t>2</w:t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fldChar w:fldCharType="end"/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t>.</w:t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fldChar w:fldCharType="begin"/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instrText xml:space="preserve"> SEQ ( \* ARABIC \s 1 </w:instrText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fldChar w:fldCharType="separate"/>
            </w:r>
            <w:r w:rsidRPr="00225EAB">
              <w:rPr>
                <w:b/>
                <w:i/>
                <w:noProof/>
                <w:color w:val="0F243E" w:themeColor="text2" w:themeShade="80"/>
                <w:sz w:val="36"/>
              </w:rPr>
              <w:t>5</w:t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fldChar w:fldCharType="end"/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t>)</w:t>
            </w:r>
            <w:bookmarkEnd w:id="1"/>
          </w:p>
        </w:tc>
      </w:tr>
    </w:tbl>
    <w:p w:rsidR="00225EAB" w:rsidRPr="00225EAB" w:rsidRDefault="00225EAB" w:rsidP="00225EAB">
      <w:pPr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</w:rPr>
      </w:pPr>
      <w:r w:rsidRPr="00225EAB"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</w:rPr>
        <w:t xml:space="preserve">где </w:t>
      </w:r>
      <w:r w:rsidRPr="00225EAB">
        <w:rPr>
          <w:rFonts w:ascii="Times New Roman" w:hAnsi="Times New Roman" w:cs="Times New Roman"/>
          <w:b/>
          <w:i/>
          <w:color w:val="0F243E" w:themeColor="text2" w:themeShade="80"/>
          <w:position w:val="-30"/>
          <w:sz w:val="36"/>
          <w:szCs w:val="32"/>
        </w:rPr>
        <w:object w:dxaOrig="980" w:dyaOrig="720">
          <v:shape id="_x0000_i1027" type="#_x0000_t75" style="width:63.85pt;height:46.35pt" o:ole="">
            <v:imagedata r:id="rId9" o:title=""/>
          </v:shape>
          <o:OLEObject Type="Embed" ProgID="Equation.3" ShapeID="_x0000_i1027" DrawAspect="Content" ObjectID="_1803470962" r:id="rId10"/>
        </w:object>
      </w:r>
      <w:r w:rsidRPr="00225EAB"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</w:rPr>
        <w:t>– расчетное сопротивление по пределу текучести;</w:t>
      </w: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</w:rPr>
      </w:pP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color w:val="0F243E" w:themeColor="text2" w:themeShade="80"/>
          <w:sz w:val="36"/>
        </w:rPr>
      </w:pPr>
      <w:r w:rsidRPr="00225EAB">
        <w:rPr>
          <w:rFonts w:ascii="Times New Roman" w:hAnsi="Times New Roman" w:cs="Times New Roman"/>
          <w:b/>
          <w:i/>
          <w:color w:val="0F243E" w:themeColor="text2" w:themeShade="80"/>
          <w:position w:val="-14"/>
          <w:sz w:val="36"/>
        </w:rPr>
        <w:object w:dxaOrig="380" w:dyaOrig="380">
          <v:shape id="_x0000_i1028" type="#_x0000_t75" style="width:25.05pt;height:25.05pt" o:ole="">
            <v:imagedata r:id="rId11" o:title=""/>
          </v:shape>
          <o:OLEObject Type="Embed" ProgID="Equation.3" ShapeID="_x0000_i1028" DrawAspect="Content" ObjectID="_1803470963" r:id="rId12"/>
        </w:object>
      </w:r>
      <w:r w:rsidRPr="00225EAB">
        <w:rPr>
          <w:rFonts w:ascii="Times New Roman" w:hAnsi="Times New Roman" w:cs="Times New Roman"/>
          <w:b/>
          <w:i/>
          <w:color w:val="0F243E" w:themeColor="text2" w:themeShade="80"/>
          <w:sz w:val="36"/>
        </w:rPr>
        <w:t>– предел текучести;</w:t>
      </w: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color w:val="0F243E" w:themeColor="text2" w:themeShade="80"/>
          <w:sz w:val="36"/>
        </w:rPr>
      </w:pP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color w:val="0F243E" w:themeColor="text2" w:themeShade="80"/>
          <w:sz w:val="36"/>
        </w:rPr>
      </w:pPr>
      <w:r w:rsidRPr="00225EAB">
        <w:rPr>
          <w:rFonts w:ascii="Times New Roman" w:hAnsi="Times New Roman" w:cs="Times New Roman"/>
          <w:b/>
          <w:i/>
          <w:color w:val="0F243E" w:themeColor="text2" w:themeShade="80"/>
          <w:position w:val="-12"/>
          <w:sz w:val="36"/>
        </w:rPr>
        <w:object w:dxaOrig="320" w:dyaOrig="360">
          <v:shape id="_x0000_i1029" type="#_x0000_t75" style="width:20.05pt;height:23.15pt" o:ole="">
            <v:imagedata r:id="rId13" o:title=""/>
          </v:shape>
          <o:OLEObject Type="Embed" ProgID="Equation.3" ShapeID="_x0000_i1029" DrawAspect="Content" ObjectID="_1803470964" r:id="rId14"/>
        </w:object>
      </w:r>
      <w:r w:rsidRPr="00225EAB">
        <w:rPr>
          <w:rFonts w:ascii="Times New Roman" w:hAnsi="Times New Roman" w:cs="Times New Roman"/>
          <w:b/>
          <w:i/>
          <w:color w:val="0F243E" w:themeColor="text2" w:themeShade="80"/>
          <w:sz w:val="36"/>
        </w:rPr>
        <w:t>– коэффициент надежности по материалу (</w:t>
      </w:r>
      <w:r w:rsidRPr="00225EAB">
        <w:rPr>
          <w:rFonts w:ascii="Times New Roman" w:hAnsi="Times New Roman" w:cs="Times New Roman"/>
          <w:b/>
          <w:i/>
          <w:color w:val="0F243E" w:themeColor="text2" w:themeShade="80"/>
          <w:sz w:val="36"/>
          <w:lang w:val="en-US"/>
        </w:rPr>
        <w:t>γ</w:t>
      </w:r>
      <w:r w:rsidRPr="00225EAB">
        <w:rPr>
          <w:rFonts w:ascii="Times New Roman" w:hAnsi="Times New Roman" w:cs="Times New Roman"/>
          <w:b/>
          <w:i/>
          <w:color w:val="0F243E" w:themeColor="text2" w:themeShade="80"/>
          <w:sz w:val="36"/>
          <w:vertAlign w:val="subscript"/>
        </w:rPr>
        <w:t>С</w:t>
      </w:r>
      <w:r w:rsidRPr="00225EAB">
        <w:rPr>
          <w:rFonts w:ascii="Times New Roman" w:hAnsi="Times New Roman" w:cs="Times New Roman"/>
          <w:b/>
          <w:i/>
          <w:color w:val="0F243E" w:themeColor="text2" w:themeShade="80"/>
          <w:sz w:val="36"/>
        </w:rPr>
        <w:t>&gt;1);</w:t>
      </w: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color w:val="0F243E" w:themeColor="text2" w:themeShade="80"/>
          <w:sz w:val="36"/>
        </w:rPr>
      </w:pP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</w:rPr>
      </w:pPr>
      <w:r w:rsidRPr="00225EAB">
        <w:rPr>
          <w:rFonts w:ascii="Times New Roman" w:hAnsi="Times New Roman" w:cs="Times New Roman"/>
          <w:b/>
          <w:i/>
          <w:color w:val="0F243E" w:themeColor="text2" w:themeShade="80"/>
          <w:position w:val="-30"/>
          <w:sz w:val="36"/>
          <w:szCs w:val="32"/>
        </w:rPr>
        <w:object w:dxaOrig="1020" w:dyaOrig="700">
          <v:shape id="_x0000_i1030" type="#_x0000_t75" style="width:65.75pt;height:45.7pt" o:ole="">
            <v:imagedata r:id="rId15" o:title=""/>
          </v:shape>
          <o:OLEObject Type="Embed" ProgID="Equation.3" ShapeID="_x0000_i1030" DrawAspect="Content" ObjectID="_1803470965" r:id="rId16"/>
        </w:object>
      </w:r>
      <w:r w:rsidRPr="00225EAB"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</w:rPr>
        <w:t>– расчетное сопротивление по пределу прочности;</w:t>
      </w: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</w:rPr>
      </w:pP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color w:val="0F243E" w:themeColor="text2" w:themeShade="80"/>
          <w:sz w:val="36"/>
        </w:rPr>
      </w:pPr>
      <w:r w:rsidRPr="00225EAB">
        <w:rPr>
          <w:rFonts w:ascii="Times New Roman" w:hAnsi="Times New Roman" w:cs="Times New Roman"/>
          <w:b/>
          <w:i/>
          <w:color w:val="0F243E" w:themeColor="text2" w:themeShade="80"/>
          <w:position w:val="-12"/>
          <w:sz w:val="36"/>
        </w:rPr>
        <w:object w:dxaOrig="400" w:dyaOrig="360">
          <v:shape id="_x0000_i1031" type="#_x0000_t75" style="width:26.3pt;height:23.15pt" o:ole="">
            <v:imagedata r:id="rId17" o:title=""/>
          </v:shape>
          <o:OLEObject Type="Embed" ProgID="Equation.3" ShapeID="_x0000_i1031" DrawAspect="Content" ObjectID="_1803470966" r:id="rId18"/>
        </w:object>
      </w:r>
      <w:r w:rsidRPr="00225EAB">
        <w:rPr>
          <w:rFonts w:ascii="Times New Roman" w:hAnsi="Times New Roman" w:cs="Times New Roman"/>
          <w:b/>
          <w:i/>
          <w:color w:val="0F243E" w:themeColor="text2" w:themeShade="80"/>
          <w:sz w:val="36"/>
        </w:rPr>
        <w:t>– предел прочности;</w:t>
      </w: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color w:val="0F243E" w:themeColor="text2" w:themeShade="80"/>
          <w:sz w:val="36"/>
        </w:rPr>
      </w:pP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</w:rPr>
      </w:pPr>
      <w:r w:rsidRPr="00225EAB">
        <w:rPr>
          <w:rFonts w:ascii="Times New Roman" w:hAnsi="Times New Roman" w:cs="Times New Roman"/>
          <w:b/>
          <w:i/>
          <w:color w:val="0F243E" w:themeColor="text2" w:themeShade="80"/>
          <w:position w:val="-12"/>
          <w:sz w:val="36"/>
          <w:szCs w:val="32"/>
        </w:rPr>
        <w:object w:dxaOrig="300" w:dyaOrig="360">
          <v:shape id="_x0000_i1032" type="#_x0000_t75" style="width:20.05pt;height:23.8pt" o:ole="">
            <v:imagedata r:id="rId19" o:title=""/>
          </v:shape>
          <o:OLEObject Type="Embed" ProgID="Equation.3" ShapeID="_x0000_i1032" DrawAspect="Content" ObjectID="_1803470967" r:id="rId20"/>
        </w:object>
      </w:r>
      <w:r w:rsidRPr="00225EAB"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</w:rPr>
        <w:t>– коэффициент условий работы (</w:t>
      </w:r>
      <w:r w:rsidRPr="00225EAB"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  <w:lang w:val="en-US"/>
        </w:rPr>
        <w:t>γ</w:t>
      </w:r>
      <w:r w:rsidRPr="00225EAB"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  <w:vertAlign w:val="subscript"/>
        </w:rPr>
        <w:t>С</w:t>
      </w:r>
      <w:r w:rsidRPr="00225EAB"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</w:rPr>
        <w:t>&lt;1);</w:t>
      </w: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</w:rPr>
      </w:pP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iCs/>
          <w:color w:val="0F243E" w:themeColor="text2" w:themeShade="80"/>
          <w:sz w:val="36"/>
          <w:szCs w:val="32"/>
        </w:rPr>
      </w:pPr>
      <w:r w:rsidRPr="00225EAB">
        <w:rPr>
          <w:rFonts w:ascii="Times New Roman" w:hAnsi="Times New Roman" w:cs="Times New Roman"/>
          <w:b/>
          <w:i/>
          <w:color w:val="0F243E" w:themeColor="text2" w:themeShade="80"/>
          <w:position w:val="-12"/>
          <w:sz w:val="36"/>
          <w:szCs w:val="32"/>
        </w:rPr>
        <w:object w:dxaOrig="840" w:dyaOrig="360">
          <v:shape id="_x0000_i1033" type="#_x0000_t75" style="width:53.85pt;height:23.15pt" o:ole="">
            <v:imagedata r:id="rId21" o:title=""/>
          </v:shape>
          <o:OLEObject Type="Embed" ProgID="Equation.3" ShapeID="_x0000_i1033" DrawAspect="Content" ObjectID="_1803470968" r:id="rId22"/>
        </w:object>
      </w:r>
      <w:r w:rsidRPr="00225EAB"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</w:rPr>
        <w:t>-коэффициент надежности для элементов конструкций, рассчи</w:t>
      </w:r>
      <w:r w:rsidRPr="00225EAB">
        <w:rPr>
          <w:rFonts w:ascii="Times New Roman" w:hAnsi="Times New Roman" w:cs="Times New Roman"/>
          <w:b/>
          <w:i/>
          <w:color w:val="0F243E" w:themeColor="text2" w:themeShade="80"/>
          <w:sz w:val="36"/>
        </w:rPr>
        <w:t>т</w:t>
      </w:r>
      <w:r w:rsidRPr="00225EAB"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</w:rPr>
        <w:t xml:space="preserve">ываемых на прочность с использованием расчетных сопротивлений </w:t>
      </w:r>
      <w:proofErr w:type="spellStart"/>
      <w:r w:rsidRPr="00225EAB"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</w:rPr>
        <w:t>R</w:t>
      </w:r>
      <w:r w:rsidRPr="00225EAB">
        <w:rPr>
          <w:rFonts w:ascii="Times New Roman" w:hAnsi="Times New Roman" w:cs="Times New Roman"/>
          <w:b/>
          <w:i/>
          <w:color w:val="0F243E" w:themeColor="text2" w:themeShade="80"/>
          <w:sz w:val="36"/>
          <w:szCs w:val="32"/>
          <w:vertAlign w:val="subscript"/>
        </w:rPr>
        <w:t>u</w:t>
      </w:r>
      <w:proofErr w:type="spellEnd"/>
      <w:r w:rsidRPr="00225EAB">
        <w:rPr>
          <w:rFonts w:ascii="Times New Roman" w:hAnsi="Times New Roman" w:cs="Times New Roman"/>
          <w:b/>
          <w:i/>
          <w:iCs/>
          <w:color w:val="0F243E" w:themeColor="text2" w:themeShade="80"/>
          <w:sz w:val="36"/>
          <w:szCs w:val="32"/>
        </w:rPr>
        <w:t>;</w:t>
      </w: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iCs/>
          <w:color w:val="0F243E" w:themeColor="text2" w:themeShade="80"/>
          <w:sz w:val="36"/>
          <w:szCs w:val="32"/>
        </w:rPr>
      </w:pP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iCs/>
          <w:color w:val="0F243E" w:themeColor="text2" w:themeShade="80"/>
          <w:sz w:val="36"/>
          <w:szCs w:val="32"/>
        </w:rPr>
      </w:pPr>
      <w:r w:rsidRPr="00225EAB">
        <w:rPr>
          <w:rFonts w:ascii="Times New Roman" w:hAnsi="Times New Roman" w:cs="Times New Roman"/>
          <w:b/>
          <w:i/>
          <w:iCs/>
          <w:color w:val="0F243E" w:themeColor="text2" w:themeShade="80"/>
          <w:position w:val="-12"/>
          <w:sz w:val="36"/>
          <w:szCs w:val="32"/>
        </w:rPr>
        <w:object w:dxaOrig="300" w:dyaOrig="360">
          <v:shape id="_x0000_i1034" type="#_x0000_t75" style="width:18.8pt;height:23.15pt" o:ole="">
            <v:imagedata r:id="rId23" o:title=""/>
          </v:shape>
          <o:OLEObject Type="Embed" ProgID="Equation.3" ShapeID="_x0000_i1034" DrawAspect="Content" ObjectID="_1803470969" r:id="rId24"/>
        </w:object>
      </w:r>
      <w:r w:rsidRPr="00225EAB">
        <w:rPr>
          <w:rFonts w:ascii="Times New Roman" w:hAnsi="Times New Roman" w:cs="Times New Roman"/>
          <w:b/>
          <w:i/>
          <w:iCs/>
          <w:color w:val="0F243E" w:themeColor="text2" w:themeShade="80"/>
          <w:sz w:val="36"/>
          <w:szCs w:val="32"/>
        </w:rPr>
        <w:t>– площадь поперечного сечения растянутого (сжатого) элемента.</w:t>
      </w: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iCs/>
          <w:color w:val="0F243E" w:themeColor="text2" w:themeShade="80"/>
          <w:sz w:val="36"/>
          <w:szCs w:val="32"/>
        </w:rPr>
      </w:pP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iCs/>
          <w:color w:val="0F243E" w:themeColor="text2" w:themeShade="80"/>
          <w:sz w:val="36"/>
          <w:szCs w:val="32"/>
        </w:rPr>
      </w:pPr>
      <w:r w:rsidRPr="00225EAB">
        <w:rPr>
          <w:rFonts w:ascii="Times New Roman" w:hAnsi="Times New Roman" w:cs="Times New Roman"/>
          <w:b/>
          <w:i/>
          <w:iCs/>
          <w:color w:val="0F243E" w:themeColor="text2" w:themeShade="80"/>
          <w:sz w:val="36"/>
          <w:szCs w:val="32"/>
        </w:rPr>
        <w:t>Для изгибаемых элементов:</w:t>
      </w: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iCs/>
          <w:color w:val="0F243E" w:themeColor="text2" w:themeShade="80"/>
          <w:sz w:val="36"/>
          <w:szCs w:val="32"/>
        </w:rPr>
      </w:pPr>
    </w:p>
    <w:tbl>
      <w:tblPr>
        <w:tblStyle w:val="a3"/>
        <w:tblW w:w="0" w:type="auto"/>
        <w:tblLook w:val="01E0"/>
      </w:tblPr>
      <w:tblGrid>
        <w:gridCol w:w="8372"/>
        <w:gridCol w:w="1199"/>
      </w:tblGrid>
      <w:tr w:rsidR="00225EAB" w:rsidRPr="00225EAB" w:rsidTr="00C7521E">
        <w:tc>
          <w:tcPr>
            <w:tcW w:w="8568" w:type="dxa"/>
            <w:tcBorders>
              <w:top w:val="nil"/>
              <w:left w:val="nil"/>
              <w:bottom w:val="nil"/>
              <w:right w:val="nil"/>
            </w:tcBorders>
          </w:tcPr>
          <w:p w:rsidR="00225EAB" w:rsidRPr="00225EAB" w:rsidRDefault="00225EAB" w:rsidP="00C7521E">
            <w:pPr>
              <w:rPr>
                <w:b/>
                <w:i/>
                <w:color w:val="0F243E" w:themeColor="text2" w:themeShade="80"/>
                <w:sz w:val="36"/>
                <w:lang w:val="en-US"/>
              </w:rPr>
            </w:pPr>
            <w:r w:rsidRPr="00225EAB">
              <w:rPr>
                <w:b/>
                <w:i/>
                <w:color w:val="0F243E" w:themeColor="text2" w:themeShade="80"/>
                <w:position w:val="-32"/>
                <w:sz w:val="36"/>
                <w:lang w:eastAsia="en-US"/>
              </w:rPr>
              <w:object w:dxaOrig="1460" w:dyaOrig="700">
                <v:shape id="_x0000_i1035" type="#_x0000_t75" style="width:107.05pt;height:45.7pt" o:ole="">
                  <v:imagedata r:id="rId25" o:title=""/>
                </v:shape>
                <o:OLEObject Type="Embed" ProgID="Equation.3" ShapeID="_x0000_i1035" DrawAspect="Content" ObjectID="_1803470970" r:id="rId26"/>
              </w:objec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</w:tcPr>
          <w:p w:rsidR="00225EAB" w:rsidRPr="00225EAB" w:rsidRDefault="00225EAB" w:rsidP="00C7521E">
            <w:pPr>
              <w:rPr>
                <w:b/>
                <w:i/>
                <w:color w:val="0F243E" w:themeColor="text2" w:themeShade="80"/>
                <w:sz w:val="36"/>
                <w:lang w:val="en-US"/>
              </w:rPr>
            </w:pPr>
            <w:bookmarkStart w:id="2" w:name="_Ref211253988"/>
            <w:r w:rsidRPr="00225EAB">
              <w:rPr>
                <w:b/>
                <w:i/>
                <w:color w:val="0F243E" w:themeColor="text2" w:themeShade="80"/>
                <w:sz w:val="36"/>
              </w:rPr>
              <w:t xml:space="preserve">( </w:t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fldChar w:fldCharType="begin"/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instrText xml:space="preserve"> STYLEREF 1 \s </w:instrText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fldChar w:fldCharType="separate"/>
            </w:r>
            <w:r w:rsidRPr="00225EAB">
              <w:rPr>
                <w:b/>
                <w:i/>
                <w:noProof/>
                <w:color w:val="0F243E" w:themeColor="text2" w:themeShade="80"/>
                <w:sz w:val="36"/>
              </w:rPr>
              <w:t>2</w:t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fldChar w:fldCharType="end"/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t>.</w:t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fldChar w:fldCharType="begin"/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instrText xml:space="preserve"> SEQ ( \* ARABIC \s 1 </w:instrText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fldChar w:fldCharType="separate"/>
            </w:r>
            <w:r w:rsidRPr="00225EAB">
              <w:rPr>
                <w:b/>
                <w:i/>
                <w:noProof/>
                <w:color w:val="0F243E" w:themeColor="text2" w:themeShade="80"/>
                <w:sz w:val="36"/>
              </w:rPr>
              <w:t>6</w:t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fldChar w:fldCharType="end"/>
            </w:r>
            <w:r w:rsidRPr="00225EAB">
              <w:rPr>
                <w:b/>
                <w:i/>
                <w:color w:val="0F243E" w:themeColor="text2" w:themeShade="80"/>
                <w:sz w:val="36"/>
              </w:rPr>
              <w:t>)</w:t>
            </w:r>
            <w:bookmarkEnd w:id="2"/>
          </w:p>
        </w:tc>
      </w:tr>
    </w:tbl>
    <w:p w:rsidR="00225EAB" w:rsidRPr="00225EAB" w:rsidRDefault="00225EAB" w:rsidP="00225EAB">
      <w:pPr>
        <w:rPr>
          <w:rFonts w:ascii="Times New Roman" w:hAnsi="Times New Roman" w:cs="Times New Roman"/>
          <w:iCs/>
          <w:szCs w:val="32"/>
        </w:rPr>
      </w:pP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iCs/>
          <w:color w:val="17365D" w:themeColor="text2" w:themeShade="BF"/>
          <w:sz w:val="28"/>
          <w:szCs w:val="28"/>
        </w:rPr>
      </w:pPr>
      <w:r w:rsidRPr="00225EAB">
        <w:rPr>
          <w:rFonts w:ascii="Times New Roman" w:hAnsi="Times New Roman" w:cs="Times New Roman"/>
          <w:b/>
          <w:i/>
          <w:iCs/>
          <w:color w:val="17365D" w:themeColor="text2" w:themeShade="BF"/>
          <w:sz w:val="28"/>
          <w:szCs w:val="28"/>
        </w:rPr>
        <w:t xml:space="preserve">Формально величину в правой части неравенств  </w:t>
      </w:r>
      <w:fldSimple w:instr=" REF _Ref211253983 \h  \* MERGEFORMAT ">
        <w:r w:rsidRPr="00225EAB">
          <w:rPr>
            <w:rFonts w:ascii="Times New Roman" w:hAnsi="Times New Roman" w:cs="Times New Roman"/>
            <w:b/>
            <w:i/>
            <w:color w:val="17365D" w:themeColor="text2" w:themeShade="BF"/>
            <w:sz w:val="28"/>
            <w:szCs w:val="28"/>
          </w:rPr>
          <w:t>(</w:t>
        </w:r>
        <w:r w:rsidRPr="00225EAB">
          <w:rPr>
            <w:rFonts w:ascii="Times New Roman" w:hAnsi="Times New Roman" w:cs="Times New Roman"/>
            <w:b/>
            <w:i/>
            <w:noProof/>
            <w:color w:val="17365D" w:themeColor="text2" w:themeShade="BF"/>
            <w:sz w:val="28"/>
            <w:szCs w:val="28"/>
          </w:rPr>
          <w:t>2</w:t>
        </w:r>
        <w:r w:rsidRPr="00225EAB">
          <w:rPr>
            <w:rFonts w:ascii="Times New Roman" w:hAnsi="Times New Roman" w:cs="Times New Roman"/>
            <w:b/>
            <w:i/>
            <w:color w:val="17365D" w:themeColor="text2" w:themeShade="BF"/>
            <w:sz w:val="28"/>
            <w:szCs w:val="28"/>
          </w:rPr>
          <w:t>.</w:t>
        </w:r>
        <w:r w:rsidRPr="00225EAB">
          <w:rPr>
            <w:rFonts w:ascii="Times New Roman" w:hAnsi="Times New Roman" w:cs="Times New Roman"/>
            <w:b/>
            <w:i/>
            <w:noProof/>
            <w:color w:val="17365D" w:themeColor="text2" w:themeShade="BF"/>
            <w:sz w:val="28"/>
            <w:szCs w:val="28"/>
          </w:rPr>
          <w:t>4</w:t>
        </w:r>
        <w:r w:rsidRPr="00225EAB">
          <w:rPr>
            <w:rFonts w:ascii="Times New Roman" w:hAnsi="Times New Roman" w:cs="Times New Roman"/>
            <w:b/>
            <w:i/>
            <w:color w:val="17365D" w:themeColor="text2" w:themeShade="BF"/>
            <w:sz w:val="28"/>
            <w:szCs w:val="28"/>
          </w:rPr>
          <w:t>)</w:t>
        </w:r>
      </w:fldSimple>
      <w:r w:rsidRPr="00225EAB">
        <w:rPr>
          <w:rFonts w:ascii="Times New Roman" w:hAnsi="Times New Roman" w:cs="Times New Roman"/>
          <w:b/>
          <w:i/>
          <w:iCs/>
          <w:color w:val="17365D" w:themeColor="text2" w:themeShade="BF"/>
          <w:sz w:val="28"/>
          <w:szCs w:val="28"/>
        </w:rPr>
        <w:t xml:space="preserve">, </w:t>
      </w:r>
      <w:fldSimple w:instr=" REF _Ref211253986 \h  \* MERGEFORMAT ">
        <w:r w:rsidRPr="00225EAB">
          <w:rPr>
            <w:rFonts w:ascii="Times New Roman" w:hAnsi="Times New Roman" w:cs="Times New Roman"/>
            <w:b/>
            <w:i/>
            <w:color w:val="17365D" w:themeColor="text2" w:themeShade="BF"/>
            <w:sz w:val="28"/>
            <w:szCs w:val="28"/>
          </w:rPr>
          <w:t>(</w:t>
        </w:r>
        <w:r w:rsidRPr="00225EAB">
          <w:rPr>
            <w:rFonts w:ascii="Times New Roman" w:hAnsi="Times New Roman" w:cs="Times New Roman"/>
            <w:b/>
            <w:i/>
            <w:noProof/>
            <w:color w:val="17365D" w:themeColor="text2" w:themeShade="BF"/>
            <w:sz w:val="28"/>
            <w:szCs w:val="28"/>
          </w:rPr>
          <w:t>2</w:t>
        </w:r>
        <w:r w:rsidRPr="00225EAB">
          <w:rPr>
            <w:rFonts w:ascii="Times New Roman" w:hAnsi="Times New Roman" w:cs="Times New Roman"/>
            <w:b/>
            <w:i/>
            <w:color w:val="17365D" w:themeColor="text2" w:themeShade="BF"/>
            <w:sz w:val="28"/>
            <w:szCs w:val="28"/>
          </w:rPr>
          <w:t>.</w:t>
        </w:r>
        <w:r w:rsidRPr="00225EAB">
          <w:rPr>
            <w:rFonts w:ascii="Times New Roman" w:hAnsi="Times New Roman" w:cs="Times New Roman"/>
            <w:b/>
            <w:i/>
            <w:noProof/>
            <w:color w:val="17365D" w:themeColor="text2" w:themeShade="BF"/>
            <w:sz w:val="28"/>
            <w:szCs w:val="28"/>
          </w:rPr>
          <w:t>5</w:t>
        </w:r>
        <w:r w:rsidRPr="00225EAB">
          <w:rPr>
            <w:rFonts w:ascii="Times New Roman" w:hAnsi="Times New Roman" w:cs="Times New Roman"/>
            <w:b/>
            <w:i/>
            <w:color w:val="17365D" w:themeColor="text2" w:themeShade="BF"/>
            <w:sz w:val="28"/>
            <w:szCs w:val="28"/>
          </w:rPr>
          <w:t>)</w:t>
        </w:r>
      </w:fldSimple>
      <w:r w:rsidRPr="00225EAB">
        <w:rPr>
          <w:rFonts w:ascii="Times New Roman" w:hAnsi="Times New Roman" w:cs="Times New Roman"/>
          <w:b/>
          <w:i/>
          <w:iCs/>
          <w:color w:val="17365D" w:themeColor="text2" w:themeShade="BF"/>
          <w:sz w:val="28"/>
          <w:szCs w:val="28"/>
        </w:rPr>
        <w:t xml:space="preserve">, </w:t>
      </w:r>
      <w:fldSimple w:instr=" REF _Ref211253988 \h  \* MERGEFORMAT ">
        <w:r w:rsidRPr="00225EAB">
          <w:rPr>
            <w:rFonts w:ascii="Times New Roman" w:hAnsi="Times New Roman" w:cs="Times New Roman"/>
            <w:b/>
            <w:i/>
            <w:color w:val="17365D" w:themeColor="text2" w:themeShade="BF"/>
            <w:sz w:val="28"/>
            <w:szCs w:val="28"/>
          </w:rPr>
          <w:t>(</w:t>
        </w:r>
        <w:r w:rsidRPr="00225EAB">
          <w:rPr>
            <w:rFonts w:ascii="Times New Roman" w:hAnsi="Times New Roman" w:cs="Times New Roman"/>
            <w:b/>
            <w:i/>
            <w:noProof/>
            <w:color w:val="17365D" w:themeColor="text2" w:themeShade="BF"/>
            <w:sz w:val="28"/>
            <w:szCs w:val="28"/>
          </w:rPr>
          <w:t>2</w:t>
        </w:r>
        <w:r w:rsidRPr="00225EAB">
          <w:rPr>
            <w:rFonts w:ascii="Times New Roman" w:hAnsi="Times New Roman" w:cs="Times New Roman"/>
            <w:b/>
            <w:i/>
            <w:color w:val="17365D" w:themeColor="text2" w:themeShade="BF"/>
            <w:sz w:val="28"/>
            <w:szCs w:val="28"/>
          </w:rPr>
          <w:t>.</w:t>
        </w:r>
        <w:r w:rsidRPr="00225EAB">
          <w:rPr>
            <w:rFonts w:ascii="Times New Roman" w:hAnsi="Times New Roman" w:cs="Times New Roman"/>
            <w:b/>
            <w:i/>
            <w:noProof/>
            <w:color w:val="17365D" w:themeColor="text2" w:themeShade="BF"/>
            <w:sz w:val="28"/>
            <w:szCs w:val="28"/>
          </w:rPr>
          <w:t>6</w:t>
        </w:r>
        <w:r w:rsidRPr="00225EAB">
          <w:rPr>
            <w:rFonts w:ascii="Times New Roman" w:hAnsi="Times New Roman" w:cs="Times New Roman"/>
            <w:b/>
            <w:i/>
            <w:color w:val="17365D" w:themeColor="text2" w:themeShade="BF"/>
            <w:sz w:val="28"/>
            <w:szCs w:val="28"/>
          </w:rPr>
          <w:t>)</w:t>
        </w:r>
      </w:fldSimple>
      <w:r w:rsidRPr="00225EAB">
        <w:rPr>
          <w:rFonts w:ascii="Times New Roman" w:hAnsi="Times New Roman" w:cs="Times New Roman"/>
          <w:b/>
          <w:i/>
          <w:iCs/>
          <w:color w:val="17365D" w:themeColor="text2" w:themeShade="BF"/>
          <w:sz w:val="28"/>
          <w:szCs w:val="28"/>
        </w:rPr>
        <w:t>, мы можем принять за допускаемое напряжение, приемы расчета по предельному состоянию и допу</w:t>
      </w:r>
      <w:r w:rsidRPr="00225EAB">
        <w:rPr>
          <w:rFonts w:ascii="Times New Roman" w:hAnsi="Times New Roman" w:cs="Times New Roman"/>
          <w:b/>
          <w:i/>
          <w:color w:val="17365D" w:themeColor="text2" w:themeShade="BF"/>
          <w:sz w:val="28"/>
          <w:szCs w:val="28"/>
        </w:rPr>
        <w:t>скаемым напряжениям совпадают, однако при расчете по пр</w:t>
      </w:r>
      <w:r w:rsidRPr="00225EAB">
        <w:rPr>
          <w:rFonts w:ascii="Times New Roman" w:hAnsi="Times New Roman" w:cs="Times New Roman"/>
          <w:b/>
          <w:i/>
          <w:iCs/>
          <w:color w:val="17365D" w:themeColor="text2" w:themeShade="BF"/>
          <w:sz w:val="28"/>
          <w:szCs w:val="28"/>
        </w:rPr>
        <w:t xml:space="preserve">едельным состояниям общий и неизменный коэффициент запаса прочности заменяется несколькими переменными величинами. </w:t>
      </w:r>
    </w:p>
    <w:p w:rsidR="00225EAB" w:rsidRPr="00225EAB" w:rsidRDefault="00225EAB" w:rsidP="00225EAB">
      <w:pPr>
        <w:rPr>
          <w:rFonts w:ascii="Times New Roman" w:hAnsi="Times New Roman" w:cs="Times New Roman"/>
          <w:iCs/>
          <w:szCs w:val="32"/>
        </w:rPr>
      </w:pPr>
    </w:p>
    <w:p w:rsidR="00225EAB" w:rsidRPr="00225EAB" w:rsidRDefault="00225EAB" w:rsidP="00225EAB">
      <w:pPr>
        <w:rPr>
          <w:rFonts w:ascii="Times New Roman" w:hAnsi="Times New Roman" w:cs="Times New Roman"/>
          <w:iCs/>
          <w:szCs w:val="32"/>
        </w:rPr>
      </w:pPr>
      <w:r w:rsidRPr="00225EAB">
        <w:rPr>
          <w:rFonts w:ascii="Times New Roman" w:hAnsi="Times New Roman" w:cs="Times New Roman"/>
          <w:b/>
          <w:iCs/>
          <w:color w:val="943634" w:themeColor="accent2" w:themeShade="BF"/>
          <w:sz w:val="32"/>
          <w:szCs w:val="32"/>
        </w:rPr>
        <w:t>Это позволяет при расчете по предельному состоянию проектировать</w:t>
      </w:r>
      <w:r w:rsidRPr="00225EAB">
        <w:rPr>
          <w:rFonts w:ascii="Times New Roman" w:hAnsi="Times New Roman" w:cs="Times New Roman"/>
          <w:iCs/>
          <w:szCs w:val="32"/>
        </w:rPr>
        <w:t xml:space="preserve"> </w:t>
      </w:r>
      <w:proofErr w:type="spellStart"/>
      <w:r w:rsidRPr="00225EAB">
        <w:rPr>
          <w:rFonts w:ascii="Times New Roman" w:hAnsi="Times New Roman" w:cs="Times New Roman"/>
          <w:b/>
          <w:i/>
          <w:iCs/>
          <w:color w:val="632423" w:themeColor="accent2" w:themeShade="80"/>
          <w:sz w:val="36"/>
          <w:szCs w:val="32"/>
        </w:rPr>
        <w:t>эксплуатационно</w:t>
      </w:r>
      <w:proofErr w:type="spellEnd"/>
      <w:r w:rsidRPr="00225EAB">
        <w:rPr>
          <w:rFonts w:ascii="Times New Roman" w:hAnsi="Times New Roman" w:cs="Times New Roman"/>
          <w:b/>
          <w:i/>
          <w:iCs/>
          <w:color w:val="632423" w:themeColor="accent2" w:themeShade="80"/>
          <w:sz w:val="36"/>
          <w:szCs w:val="32"/>
        </w:rPr>
        <w:t xml:space="preserve"> равнопрочные конструкции</w:t>
      </w:r>
      <w:r w:rsidRPr="00225EAB">
        <w:rPr>
          <w:rFonts w:ascii="Times New Roman" w:hAnsi="Times New Roman" w:cs="Times New Roman"/>
          <w:iCs/>
          <w:szCs w:val="32"/>
        </w:rPr>
        <w:t>.</w:t>
      </w:r>
    </w:p>
    <w:p w:rsidR="00225EAB" w:rsidRPr="00225EAB" w:rsidRDefault="00225EAB" w:rsidP="00225EAB">
      <w:pPr>
        <w:rPr>
          <w:rFonts w:ascii="Times New Roman" w:hAnsi="Times New Roman" w:cs="Times New Roman"/>
          <w:iCs/>
          <w:szCs w:val="32"/>
        </w:rPr>
      </w:pPr>
    </w:p>
    <w:p w:rsidR="00225EAB" w:rsidRPr="00225EAB" w:rsidRDefault="00225EAB" w:rsidP="00225EAB">
      <w:pPr>
        <w:rPr>
          <w:rFonts w:ascii="Times New Roman" w:hAnsi="Times New Roman" w:cs="Times New Roman"/>
          <w:iCs/>
          <w:szCs w:val="32"/>
        </w:rPr>
      </w:pPr>
    </w:p>
    <w:p w:rsidR="00225EAB" w:rsidRPr="00225EAB" w:rsidRDefault="00225EAB" w:rsidP="00225EAB">
      <w:pPr>
        <w:rPr>
          <w:rFonts w:ascii="Times New Roman" w:hAnsi="Times New Roman" w:cs="Times New Roman"/>
          <w:b/>
          <w:iCs/>
          <w:color w:val="632423" w:themeColor="accent2" w:themeShade="80"/>
          <w:sz w:val="36"/>
          <w:szCs w:val="32"/>
        </w:rPr>
      </w:pPr>
      <w:r w:rsidRPr="00225EAB">
        <w:rPr>
          <w:rFonts w:ascii="Times New Roman" w:hAnsi="Times New Roman" w:cs="Times New Roman"/>
          <w:b/>
          <w:iCs/>
          <w:color w:val="632423" w:themeColor="accent2" w:themeShade="80"/>
          <w:sz w:val="36"/>
          <w:szCs w:val="32"/>
        </w:rPr>
        <w:t xml:space="preserve">При определении расчетных сопротивлений для сварных швов </w:t>
      </w:r>
      <w:r w:rsidRPr="00225EAB">
        <w:rPr>
          <w:rFonts w:ascii="Times New Roman" w:hAnsi="Times New Roman" w:cs="Times New Roman"/>
          <w:b/>
          <w:iCs/>
          <w:color w:val="632423" w:themeColor="accent2" w:themeShade="80"/>
          <w:sz w:val="36"/>
          <w:szCs w:val="32"/>
          <w:lang w:val="en-US"/>
        </w:rPr>
        <w:t>R</w:t>
      </w:r>
      <w:r w:rsidRPr="00225EAB">
        <w:rPr>
          <w:rFonts w:ascii="Times New Roman" w:hAnsi="Times New Roman" w:cs="Times New Roman"/>
          <w:b/>
          <w:iCs/>
          <w:color w:val="632423" w:themeColor="accent2" w:themeShade="80"/>
          <w:sz w:val="36"/>
          <w:szCs w:val="32"/>
          <w:vertAlign w:val="subscript"/>
          <w:lang w:val="en-US"/>
        </w:rPr>
        <w:t>W</w:t>
      </w:r>
      <w:r w:rsidRPr="00225EAB">
        <w:rPr>
          <w:rFonts w:ascii="Times New Roman" w:hAnsi="Times New Roman" w:cs="Times New Roman"/>
          <w:b/>
          <w:iCs/>
          <w:color w:val="632423" w:themeColor="accent2" w:themeShade="80"/>
          <w:sz w:val="36"/>
          <w:szCs w:val="32"/>
        </w:rPr>
        <w:t xml:space="preserve"> учитываются следующее: </w:t>
      </w:r>
    </w:p>
    <w:p w:rsidR="00225EAB" w:rsidRPr="00225EAB" w:rsidRDefault="00225EAB" w:rsidP="00225EAB">
      <w:pPr>
        <w:rPr>
          <w:rFonts w:ascii="Times New Roman" w:hAnsi="Times New Roman" w:cs="Times New Roman"/>
          <w:iCs/>
          <w:szCs w:val="32"/>
        </w:rPr>
      </w:pP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iCs/>
          <w:color w:val="4A442A" w:themeColor="background2" w:themeShade="40"/>
          <w:sz w:val="36"/>
          <w:szCs w:val="32"/>
        </w:rPr>
      </w:pPr>
      <w:r w:rsidRPr="00225EAB">
        <w:rPr>
          <w:rFonts w:ascii="Times New Roman" w:hAnsi="Times New Roman" w:cs="Times New Roman"/>
          <w:b/>
          <w:i/>
          <w:iCs/>
          <w:color w:val="4A442A" w:themeColor="background2" w:themeShade="40"/>
          <w:sz w:val="36"/>
          <w:szCs w:val="32"/>
        </w:rPr>
        <w:t xml:space="preserve">основной материал сварной конструкции, </w:t>
      </w: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iCs/>
          <w:color w:val="4A442A" w:themeColor="background2" w:themeShade="40"/>
          <w:sz w:val="36"/>
          <w:szCs w:val="32"/>
        </w:rPr>
      </w:pP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iCs/>
          <w:color w:val="4A442A" w:themeColor="background2" w:themeShade="40"/>
          <w:sz w:val="36"/>
          <w:szCs w:val="32"/>
        </w:rPr>
      </w:pPr>
      <w:r w:rsidRPr="00225EAB">
        <w:rPr>
          <w:rFonts w:ascii="Times New Roman" w:hAnsi="Times New Roman" w:cs="Times New Roman"/>
          <w:b/>
          <w:i/>
          <w:iCs/>
          <w:color w:val="4A442A" w:themeColor="background2" w:themeShade="40"/>
          <w:sz w:val="36"/>
          <w:szCs w:val="32"/>
        </w:rPr>
        <w:t xml:space="preserve">вспомогательные </w:t>
      </w:r>
      <w:proofErr w:type="gramStart"/>
      <w:r w:rsidRPr="00225EAB">
        <w:rPr>
          <w:rFonts w:ascii="Times New Roman" w:hAnsi="Times New Roman" w:cs="Times New Roman"/>
          <w:b/>
          <w:i/>
          <w:iCs/>
          <w:color w:val="4A442A" w:themeColor="background2" w:themeShade="40"/>
          <w:sz w:val="36"/>
          <w:szCs w:val="32"/>
        </w:rPr>
        <w:t>материалы</w:t>
      </w:r>
      <w:proofErr w:type="gramEnd"/>
      <w:r w:rsidRPr="00225EAB">
        <w:rPr>
          <w:rFonts w:ascii="Times New Roman" w:hAnsi="Times New Roman" w:cs="Times New Roman"/>
          <w:b/>
          <w:i/>
          <w:iCs/>
          <w:color w:val="4A442A" w:themeColor="background2" w:themeShade="40"/>
          <w:sz w:val="36"/>
          <w:szCs w:val="32"/>
        </w:rPr>
        <w:t xml:space="preserve"> используемые при сварке (марки покрытых электродов,</w:t>
      </w: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iCs/>
          <w:color w:val="4A442A" w:themeColor="background2" w:themeShade="40"/>
          <w:sz w:val="36"/>
          <w:szCs w:val="32"/>
        </w:rPr>
      </w:pP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iCs/>
          <w:color w:val="4A442A" w:themeColor="background2" w:themeShade="40"/>
          <w:sz w:val="36"/>
          <w:szCs w:val="32"/>
        </w:rPr>
      </w:pPr>
      <w:r w:rsidRPr="00225EAB">
        <w:rPr>
          <w:rFonts w:ascii="Times New Roman" w:hAnsi="Times New Roman" w:cs="Times New Roman"/>
          <w:b/>
          <w:i/>
          <w:iCs/>
          <w:color w:val="4A442A" w:themeColor="background2" w:themeShade="40"/>
          <w:sz w:val="36"/>
          <w:szCs w:val="32"/>
        </w:rPr>
        <w:t xml:space="preserve">электродных проволок), </w:t>
      </w: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iCs/>
          <w:color w:val="4A442A" w:themeColor="background2" w:themeShade="40"/>
          <w:sz w:val="36"/>
          <w:szCs w:val="32"/>
        </w:rPr>
      </w:pPr>
    </w:p>
    <w:p w:rsidR="00225EAB" w:rsidRPr="00225EAB" w:rsidRDefault="00225EAB" w:rsidP="00225EAB">
      <w:pPr>
        <w:rPr>
          <w:rFonts w:ascii="Times New Roman" w:hAnsi="Times New Roman" w:cs="Times New Roman"/>
          <w:b/>
          <w:i/>
          <w:iCs/>
          <w:color w:val="4A442A" w:themeColor="background2" w:themeShade="40"/>
          <w:sz w:val="36"/>
          <w:szCs w:val="32"/>
        </w:rPr>
      </w:pPr>
      <w:r w:rsidRPr="00225EAB">
        <w:rPr>
          <w:rFonts w:ascii="Times New Roman" w:hAnsi="Times New Roman" w:cs="Times New Roman"/>
          <w:b/>
          <w:i/>
          <w:iCs/>
          <w:color w:val="4A442A" w:themeColor="background2" w:themeShade="40"/>
          <w:sz w:val="36"/>
          <w:szCs w:val="32"/>
        </w:rPr>
        <w:t>наличие либо</w:t>
      </w:r>
      <w:r w:rsidRPr="00225EAB">
        <w:rPr>
          <w:rFonts w:ascii="Times New Roman" w:hAnsi="Times New Roman" w:cs="Times New Roman"/>
          <w:b/>
          <w:i/>
          <w:color w:val="4A442A" w:themeColor="background2" w:themeShade="40"/>
          <w:sz w:val="36"/>
        </w:rPr>
        <w:t xml:space="preserve"> отсу</w:t>
      </w:r>
      <w:r w:rsidRPr="00225EAB">
        <w:rPr>
          <w:rFonts w:ascii="Times New Roman" w:hAnsi="Times New Roman" w:cs="Times New Roman"/>
          <w:b/>
          <w:i/>
          <w:iCs/>
          <w:color w:val="4A442A" w:themeColor="background2" w:themeShade="40"/>
          <w:sz w:val="36"/>
          <w:szCs w:val="32"/>
        </w:rPr>
        <w:t>тствие физических методов контроля сварного шва.</w:t>
      </w:r>
    </w:p>
    <w:p w:rsidR="00E97FB9" w:rsidRPr="00225EAB" w:rsidRDefault="00E97FB9">
      <w:pPr>
        <w:rPr>
          <w:rFonts w:ascii="Times New Roman" w:hAnsi="Times New Roman" w:cs="Times New Roman"/>
        </w:rPr>
      </w:pPr>
    </w:p>
    <w:sectPr w:rsidR="00E97FB9" w:rsidRPr="00225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35D1D"/>
    <w:multiLevelType w:val="multilevel"/>
    <w:tmpl w:val="041ADA06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2134"/>
        </w:tabs>
        <w:ind w:left="2134" w:hanging="43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3240"/>
        </w:tabs>
        <w:ind w:left="30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225EAB"/>
    <w:rsid w:val="00225EAB"/>
    <w:rsid w:val="00E9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25EAB"/>
    <w:pPr>
      <w:pageBreakBefore/>
      <w:widowControl w:val="0"/>
      <w:numPr>
        <w:numId w:val="1"/>
      </w:numPr>
      <w:autoSpaceDE w:val="0"/>
      <w:autoSpaceDN w:val="0"/>
      <w:adjustRightInd w:val="0"/>
      <w:spacing w:after="240" w:line="240" w:lineRule="auto"/>
      <w:jc w:val="both"/>
      <w:outlineLvl w:val="0"/>
    </w:pPr>
    <w:rPr>
      <w:rFonts w:ascii="Times New Roman" w:eastAsia="Times New Roman" w:hAnsi="Times New Roman" w:cs="Times New Roman"/>
      <w:b/>
      <w:bCs/>
      <w:caps/>
      <w:sz w:val="36"/>
      <w:szCs w:val="20"/>
      <w:lang w:eastAsia="en-US"/>
    </w:rPr>
  </w:style>
  <w:style w:type="paragraph" w:styleId="2">
    <w:name w:val="heading 2"/>
    <w:basedOn w:val="a"/>
    <w:next w:val="a"/>
    <w:link w:val="20"/>
    <w:qFormat/>
    <w:rsid w:val="00225EAB"/>
    <w:pPr>
      <w:keepNext/>
      <w:widowControl w:val="0"/>
      <w:numPr>
        <w:ilvl w:val="1"/>
        <w:numId w:val="1"/>
      </w:numPr>
      <w:tabs>
        <w:tab w:val="clear" w:pos="2134"/>
        <w:tab w:val="num" w:pos="792"/>
      </w:tabs>
      <w:spacing w:before="240" w:after="100" w:afterAutospacing="1" w:line="240" w:lineRule="auto"/>
      <w:ind w:left="792"/>
      <w:jc w:val="both"/>
      <w:outlineLvl w:val="1"/>
    </w:pPr>
    <w:rPr>
      <w:rFonts w:ascii="Times New Roman" w:eastAsia="Times New Roman" w:hAnsi="Times New Roman" w:cs="Arial"/>
      <w:b/>
      <w:bCs/>
      <w:i/>
      <w:iCs/>
      <w:sz w:val="36"/>
      <w:szCs w:val="28"/>
      <w:lang w:eastAsia="en-US"/>
    </w:rPr>
  </w:style>
  <w:style w:type="paragraph" w:styleId="3">
    <w:name w:val="heading 3"/>
    <w:basedOn w:val="a"/>
    <w:next w:val="a"/>
    <w:link w:val="30"/>
    <w:qFormat/>
    <w:rsid w:val="00225EAB"/>
    <w:pPr>
      <w:keepNext/>
      <w:widowControl w:val="0"/>
      <w:numPr>
        <w:ilvl w:val="2"/>
        <w:numId w:val="1"/>
      </w:numPr>
      <w:spacing w:before="240" w:after="240" w:line="240" w:lineRule="auto"/>
      <w:outlineLvl w:val="2"/>
    </w:pPr>
    <w:rPr>
      <w:rFonts w:ascii="Times New Roman" w:eastAsia="Times New Roman" w:hAnsi="Times New Roman" w:cs="Arial"/>
      <w:b/>
      <w:bCs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25E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25EAB"/>
    <w:rPr>
      <w:rFonts w:ascii="Times New Roman" w:eastAsia="Times New Roman" w:hAnsi="Times New Roman" w:cs="Times New Roman"/>
      <w:b/>
      <w:bCs/>
      <w:caps/>
      <w:sz w:val="36"/>
      <w:szCs w:val="20"/>
      <w:lang w:eastAsia="en-US"/>
    </w:rPr>
  </w:style>
  <w:style w:type="character" w:customStyle="1" w:styleId="20">
    <w:name w:val="Заголовок 2 Знак"/>
    <w:basedOn w:val="a0"/>
    <w:link w:val="2"/>
    <w:rsid w:val="00225EAB"/>
    <w:rPr>
      <w:rFonts w:ascii="Times New Roman" w:eastAsia="Times New Roman" w:hAnsi="Times New Roman" w:cs="Arial"/>
      <w:b/>
      <w:bCs/>
      <w:i/>
      <w:iCs/>
      <w:sz w:val="36"/>
      <w:szCs w:val="28"/>
      <w:lang w:eastAsia="en-US"/>
    </w:rPr>
  </w:style>
  <w:style w:type="character" w:customStyle="1" w:styleId="30">
    <w:name w:val="Заголовок 3 Знак"/>
    <w:basedOn w:val="a0"/>
    <w:link w:val="3"/>
    <w:rsid w:val="00225EAB"/>
    <w:rPr>
      <w:rFonts w:ascii="Times New Roman" w:eastAsia="Times New Roman" w:hAnsi="Times New Roman" w:cs="Arial"/>
      <w:b/>
      <w:bCs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302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2025-03-14T08:19:00Z</dcterms:created>
  <dcterms:modified xsi:type="dcterms:W3CDTF">2025-03-14T08:23:00Z</dcterms:modified>
</cp:coreProperties>
</file>