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E1A" w:rsidRDefault="00F37E1A" w:rsidP="00F37E1A">
      <w:pPr>
        <w:jc w:val="both"/>
        <w:rPr>
          <w:rFonts w:ascii="Times New Roman" w:hAnsi="Times New Roman" w:cs="Times New Roman"/>
          <w:sz w:val="24"/>
          <w:szCs w:val="24"/>
        </w:rPr>
      </w:pPr>
      <w:r w:rsidRPr="00F37E1A">
        <w:rPr>
          <w:rFonts w:ascii="Times New Roman" w:hAnsi="Times New Roman" w:cs="Times New Roman"/>
          <w:sz w:val="24"/>
          <w:szCs w:val="24"/>
        </w:rPr>
        <w:t>Нестерова, Н.М.  Теория перевода: ключевые во</w:t>
      </w:r>
      <w:r>
        <w:rPr>
          <w:rFonts w:ascii="Times New Roman" w:hAnsi="Times New Roman" w:cs="Times New Roman"/>
          <w:sz w:val="24"/>
          <w:szCs w:val="24"/>
        </w:rPr>
        <w:t>просы 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>особие / Н.М. Не</w:t>
      </w:r>
      <w:r w:rsidRPr="00F37E1A">
        <w:rPr>
          <w:rFonts w:ascii="Times New Roman" w:hAnsi="Times New Roman" w:cs="Times New Roman"/>
          <w:sz w:val="24"/>
          <w:szCs w:val="24"/>
        </w:rPr>
        <w:t>стерова, Е.А. Наугольных, А.Ю. Наугольных. – Пермь</w:t>
      </w:r>
      <w:proofErr w:type="gramStart"/>
      <w:r w:rsidRPr="00F37E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F37E1A">
        <w:rPr>
          <w:rFonts w:ascii="Times New Roman" w:hAnsi="Times New Roman" w:cs="Times New Roman"/>
          <w:sz w:val="24"/>
          <w:szCs w:val="24"/>
        </w:rPr>
        <w:t xml:space="preserve"> Изд-во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Перм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нац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исслед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политехн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. ун-та, 2012. – 108 </w:t>
      </w:r>
      <w:proofErr w:type="gramStart"/>
      <w:r w:rsidRPr="00F37E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F37E1A">
        <w:rPr>
          <w:rFonts w:ascii="Times New Roman" w:hAnsi="Times New Roman" w:cs="Times New Roman"/>
          <w:sz w:val="24"/>
          <w:szCs w:val="24"/>
        </w:rPr>
        <w:t>.</w:t>
      </w:r>
    </w:p>
    <w:p w:rsidR="00F37E1A" w:rsidRPr="00F37E1A" w:rsidRDefault="00F37E1A" w:rsidP="00F37E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1A">
        <w:rPr>
          <w:rFonts w:ascii="Times New Roman" w:hAnsi="Times New Roman" w:cs="Times New Roman"/>
          <w:b/>
          <w:sz w:val="24"/>
          <w:szCs w:val="24"/>
        </w:rPr>
        <w:t>Эквивалентность и/или адекватность?</w:t>
      </w:r>
    </w:p>
    <w:p w:rsidR="00F37E1A" w:rsidRDefault="00F37E1A" w:rsidP="00F37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E1A">
        <w:rPr>
          <w:rFonts w:ascii="Times New Roman" w:hAnsi="Times New Roman" w:cs="Times New Roman"/>
          <w:sz w:val="24"/>
          <w:szCs w:val="24"/>
        </w:rPr>
        <w:t xml:space="preserve"> Отсутствие четкого, строгого определения эквивалентности привело к тому, что отношения перевод/оригинал пытаются определить, используя и другие понятия, такие как точность, верность, адекватность и изоморфизм.  Самой традиционной в современной науке</w:t>
      </w:r>
      <w:r>
        <w:rPr>
          <w:rFonts w:ascii="Times New Roman" w:hAnsi="Times New Roman" w:cs="Times New Roman"/>
          <w:sz w:val="24"/>
          <w:szCs w:val="24"/>
        </w:rPr>
        <w:t xml:space="preserve"> является дихотомия: эквивалент</w:t>
      </w:r>
      <w:r w:rsidRPr="00F37E1A">
        <w:rPr>
          <w:rFonts w:ascii="Times New Roman" w:hAnsi="Times New Roman" w:cs="Times New Roman"/>
          <w:sz w:val="24"/>
          <w:szCs w:val="24"/>
        </w:rPr>
        <w:t xml:space="preserve">ность/адекватность. Последний термин стал не менее «востребованным» для </w:t>
      </w:r>
      <w:proofErr w:type="gramStart"/>
      <w:r w:rsidRPr="00F37E1A">
        <w:rPr>
          <w:rFonts w:ascii="Times New Roman" w:hAnsi="Times New Roman" w:cs="Times New Roman"/>
          <w:sz w:val="24"/>
          <w:szCs w:val="24"/>
        </w:rPr>
        <w:t>определения</w:t>
      </w:r>
      <w:proofErr w:type="gramEnd"/>
      <w:r w:rsidRPr="00F37E1A">
        <w:rPr>
          <w:rFonts w:ascii="Times New Roman" w:hAnsi="Times New Roman" w:cs="Times New Roman"/>
          <w:sz w:val="24"/>
          <w:szCs w:val="24"/>
        </w:rPr>
        <w:t xml:space="preserve"> как сущности перевода, так и его качества. Термины «эквивалентность» и «аде</w:t>
      </w:r>
      <w:r>
        <w:rPr>
          <w:rFonts w:ascii="Times New Roman" w:hAnsi="Times New Roman" w:cs="Times New Roman"/>
          <w:sz w:val="24"/>
          <w:szCs w:val="24"/>
        </w:rPr>
        <w:t>кватность» как синонимы в значе</w:t>
      </w:r>
      <w:r w:rsidRPr="00F37E1A">
        <w:rPr>
          <w:rFonts w:ascii="Times New Roman" w:hAnsi="Times New Roman" w:cs="Times New Roman"/>
          <w:sz w:val="24"/>
          <w:szCs w:val="24"/>
        </w:rPr>
        <w:t xml:space="preserve">нии «хороший перевод». </w:t>
      </w:r>
    </w:p>
    <w:p w:rsidR="00F37E1A" w:rsidRPr="00F37E1A" w:rsidRDefault="00F37E1A" w:rsidP="00F37E1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37E1A">
        <w:rPr>
          <w:rFonts w:ascii="Times New Roman" w:hAnsi="Times New Roman" w:cs="Times New Roman"/>
          <w:b/>
          <w:sz w:val="24"/>
          <w:szCs w:val="24"/>
        </w:rPr>
        <w:t xml:space="preserve">Различие терминов. </w:t>
      </w:r>
    </w:p>
    <w:p w:rsidR="00470409" w:rsidRDefault="00F37E1A" w:rsidP="00F37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E1A">
        <w:rPr>
          <w:rFonts w:ascii="Times New Roman" w:hAnsi="Times New Roman" w:cs="Times New Roman"/>
          <w:sz w:val="24"/>
          <w:szCs w:val="24"/>
        </w:rPr>
        <w:t xml:space="preserve">Термин «эквивалентность» охватывает </w:t>
      </w:r>
      <w:proofErr w:type="gramStart"/>
      <w:r w:rsidRPr="00F37E1A">
        <w:rPr>
          <w:rFonts w:ascii="Times New Roman" w:hAnsi="Times New Roman" w:cs="Times New Roman"/>
          <w:sz w:val="24"/>
          <w:szCs w:val="24"/>
        </w:rPr>
        <w:t>отношения</w:t>
      </w:r>
      <w:proofErr w:type="gramEnd"/>
      <w:r w:rsidRPr="00F37E1A">
        <w:rPr>
          <w:rFonts w:ascii="Times New Roman" w:hAnsi="Times New Roman" w:cs="Times New Roman"/>
          <w:sz w:val="24"/>
          <w:szCs w:val="24"/>
        </w:rPr>
        <w:t xml:space="preserve"> как между отдельными знаками, так и ме</w:t>
      </w:r>
      <w:r>
        <w:rPr>
          <w:rFonts w:ascii="Times New Roman" w:hAnsi="Times New Roman" w:cs="Times New Roman"/>
          <w:sz w:val="24"/>
          <w:szCs w:val="24"/>
        </w:rPr>
        <w:t>жду целыми текстами. Эквивалент</w:t>
      </w:r>
      <w:r w:rsidRPr="00F37E1A">
        <w:rPr>
          <w:rFonts w:ascii="Times New Roman" w:hAnsi="Times New Roman" w:cs="Times New Roman"/>
          <w:sz w:val="24"/>
          <w:szCs w:val="24"/>
        </w:rPr>
        <w:t>ность знаков еще не означает эквивалентности текстов, и, наоборот</w:t>
      </w:r>
      <w:r>
        <w:rPr>
          <w:rFonts w:ascii="Times New Roman" w:hAnsi="Times New Roman" w:cs="Times New Roman"/>
          <w:sz w:val="24"/>
          <w:szCs w:val="24"/>
        </w:rPr>
        <w:t>, эквива</w:t>
      </w:r>
      <w:r w:rsidRPr="00F37E1A">
        <w:rPr>
          <w:rFonts w:ascii="Times New Roman" w:hAnsi="Times New Roman" w:cs="Times New Roman"/>
          <w:sz w:val="24"/>
          <w:szCs w:val="24"/>
        </w:rPr>
        <w:t>лентность текстов вовсе не подразумевает</w:t>
      </w:r>
      <w:r>
        <w:rPr>
          <w:rFonts w:ascii="Times New Roman" w:hAnsi="Times New Roman" w:cs="Times New Roman"/>
          <w:sz w:val="24"/>
          <w:szCs w:val="24"/>
        </w:rPr>
        <w:t xml:space="preserve"> эквивалентности всех их сегмен</w:t>
      </w:r>
      <w:r w:rsidRPr="00F37E1A">
        <w:rPr>
          <w:rFonts w:ascii="Times New Roman" w:hAnsi="Times New Roman" w:cs="Times New Roman"/>
          <w:sz w:val="24"/>
          <w:szCs w:val="24"/>
        </w:rPr>
        <w:t>тов. При этом эквивалентность текстов вы</w:t>
      </w:r>
      <w:r>
        <w:rPr>
          <w:rFonts w:ascii="Times New Roman" w:hAnsi="Times New Roman" w:cs="Times New Roman"/>
          <w:sz w:val="24"/>
          <w:szCs w:val="24"/>
        </w:rPr>
        <w:t>ходит за пределы их языковых ма</w:t>
      </w:r>
      <w:r w:rsidRPr="00F37E1A">
        <w:rPr>
          <w:rFonts w:ascii="Times New Roman" w:hAnsi="Times New Roman" w:cs="Times New Roman"/>
          <w:sz w:val="24"/>
          <w:szCs w:val="24"/>
        </w:rPr>
        <w:t>нифестаций и включает также культурную эквивалентность. Адекватностью называется соответствие выбора языковых знаков на языке перевода тому измерению исходного текста, которое изби</w:t>
      </w:r>
      <w:r w:rsidR="00470409">
        <w:rPr>
          <w:rFonts w:ascii="Times New Roman" w:hAnsi="Times New Roman" w:cs="Times New Roman"/>
          <w:sz w:val="24"/>
          <w:szCs w:val="24"/>
        </w:rPr>
        <w:t>рается в качестве основного ори</w:t>
      </w:r>
      <w:r w:rsidRPr="00F37E1A">
        <w:rPr>
          <w:rFonts w:ascii="Times New Roman" w:hAnsi="Times New Roman" w:cs="Times New Roman"/>
          <w:sz w:val="24"/>
          <w:szCs w:val="24"/>
        </w:rPr>
        <w:t xml:space="preserve">ентира процесса перевода. «Адекватность </w:t>
      </w:r>
      <w:r w:rsidR="00470409">
        <w:rPr>
          <w:rFonts w:ascii="Times New Roman" w:hAnsi="Times New Roman" w:cs="Times New Roman"/>
          <w:sz w:val="24"/>
          <w:szCs w:val="24"/>
        </w:rPr>
        <w:t>– это такое соотношение исходно</w:t>
      </w:r>
      <w:r w:rsidRPr="00F37E1A">
        <w:rPr>
          <w:rFonts w:ascii="Times New Roman" w:hAnsi="Times New Roman" w:cs="Times New Roman"/>
          <w:sz w:val="24"/>
          <w:szCs w:val="24"/>
        </w:rPr>
        <w:t>го и конечного текстов, при котором посл</w:t>
      </w:r>
      <w:r w:rsidR="00470409">
        <w:rPr>
          <w:rFonts w:ascii="Times New Roman" w:hAnsi="Times New Roman" w:cs="Times New Roman"/>
          <w:sz w:val="24"/>
          <w:szCs w:val="24"/>
        </w:rPr>
        <w:t>едовательно учитывается цель пе</w:t>
      </w:r>
      <w:r w:rsidRPr="00F37E1A">
        <w:rPr>
          <w:rFonts w:ascii="Times New Roman" w:hAnsi="Times New Roman" w:cs="Times New Roman"/>
          <w:sz w:val="24"/>
          <w:szCs w:val="24"/>
        </w:rPr>
        <w:t xml:space="preserve">ревода» (К.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Райс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>, Г. Вермеер) [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Швейцер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 1988: 92]. </w:t>
      </w:r>
    </w:p>
    <w:p w:rsidR="00470409" w:rsidRDefault="00F37E1A" w:rsidP="00F37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E1A">
        <w:rPr>
          <w:rFonts w:ascii="Times New Roman" w:hAnsi="Times New Roman" w:cs="Times New Roman"/>
          <w:sz w:val="24"/>
          <w:szCs w:val="24"/>
        </w:rPr>
        <w:t>Обе категории являются оценочными</w:t>
      </w:r>
      <w:r w:rsidR="00470409">
        <w:rPr>
          <w:rFonts w:ascii="Times New Roman" w:hAnsi="Times New Roman" w:cs="Times New Roman"/>
          <w:sz w:val="24"/>
          <w:szCs w:val="24"/>
        </w:rPr>
        <w:t>, но объекты «оценки» у них раз</w:t>
      </w:r>
      <w:r w:rsidRPr="00F37E1A">
        <w:rPr>
          <w:rFonts w:ascii="Times New Roman" w:hAnsi="Times New Roman" w:cs="Times New Roman"/>
          <w:sz w:val="24"/>
          <w:szCs w:val="24"/>
        </w:rPr>
        <w:t xml:space="preserve">личные. Если понятие эквивалентности используется для оценки результата перевода, т.е. отношения текста перевода к тексту оригинала, то понятие «адекватность», как правило, исследователи (например, К.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Райс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, Г. Вермеер, А.Д. 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Швейцер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>) связывают с процессом перевода, т.е. с его соответствием цели и коммуникативным условиям конкретного</w:t>
      </w:r>
      <w:r w:rsidR="00470409">
        <w:rPr>
          <w:rFonts w:ascii="Times New Roman" w:hAnsi="Times New Roman" w:cs="Times New Roman"/>
          <w:sz w:val="24"/>
          <w:szCs w:val="24"/>
        </w:rPr>
        <w:t xml:space="preserve"> коммуникативного акта</w:t>
      </w:r>
      <w:r w:rsidRPr="00F37E1A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70409" w:rsidRDefault="00F37E1A" w:rsidP="00F37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37E1A">
        <w:rPr>
          <w:rFonts w:ascii="Times New Roman" w:hAnsi="Times New Roman" w:cs="Times New Roman"/>
          <w:sz w:val="24"/>
          <w:szCs w:val="24"/>
        </w:rPr>
        <w:t xml:space="preserve">Понятия «эквивалентность» и «адекватность» различаются по степени «строгости» требований, предъявляемых </w:t>
      </w:r>
      <w:r w:rsidR="00470409">
        <w:rPr>
          <w:rFonts w:ascii="Times New Roman" w:hAnsi="Times New Roman" w:cs="Times New Roman"/>
          <w:sz w:val="24"/>
          <w:szCs w:val="24"/>
        </w:rPr>
        <w:t>к переводу.</w:t>
      </w:r>
      <w:proofErr w:type="gramEnd"/>
      <w:r w:rsidR="00470409">
        <w:rPr>
          <w:rFonts w:ascii="Times New Roman" w:hAnsi="Times New Roman" w:cs="Times New Roman"/>
          <w:sz w:val="24"/>
          <w:szCs w:val="24"/>
        </w:rPr>
        <w:t xml:space="preserve"> В отличие от эквива</w:t>
      </w:r>
      <w:r w:rsidRPr="00F37E1A">
        <w:rPr>
          <w:rFonts w:ascii="Times New Roman" w:hAnsi="Times New Roman" w:cs="Times New Roman"/>
          <w:sz w:val="24"/>
          <w:szCs w:val="24"/>
        </w:rPr>
        <w:t>лентности адекватность является в определенной мере теоретическим (идеализированным) конструктом, имеет иной онтологический статус, она «опирается на реальную практику перевода</w:t>
      </w:r>
      <w:r w:rsidR="00470409">
        <w:rPr>
          <w:rFonts w:ascii="Times New Roman" w:hAnsi="Times New Roman" w:cs="Times New Roman"/>
          <w:sz w:val="24"/>
          <w:szCs w:val="24"/>
        </w:rPr>
        <w:t>, которая часто не допускает ис</w:t>
      </w:r>
      <w:r w:rsidRPr="00F37E1A">
        <w:rPr>
          <w:rFonts w:ascii="Times New Roman" w:hAnsi="Times New Roman" w:cs="Times New Roman"/>
          <w:sz w:val="24"/>
          <w:szCs w:val="24"/>
        </w:rPr>
        <w:t>черпывающей передачи всего коммуни</w:t>
      </w:r>
      <w:r w:rsidR="00470409">
        <w:rPr>
          <w:rFonts w:ascii="Times New Roman" w:hAnsi="Times New Roman" w:cs="Times New Roman"/>
          <w:sz w:val="24"/>
          <w:szCs w:val="24"/>
        </w:rPr>
        <w:t>кативно-функционального содержа</w:t>
      </w:r>
      <w:r w:rsidRPr="00F37E1A">
        <w:rPr>
          <w:rFonts w:ascii="Times New Roman" w:hAnsi="Times New Roman" w:cs="Times New Roman"/>
          <w:sz w:val="24"/>
          <w:szCs w:val="24"/>
        </w:rPr>
        <w:t xml:space="preserve">ния оригинала. Адекватность исходит из того, что решение, принимаемое переводчиком, нередко носит компромиссный характер, что перевод требует жертв и что в процессе перевода во имя передачи главного и существенного в исходном тексте (его </w:t>
      </w:r>
      <w:r w:rsidRPr="00F37E1A">
        <w:rPr>
          <w:rFonts w:ascii="Times New Roman" w:hAnsi="Times New Roman" w:cs="Times New Roman"/>
          <w:sz w:val="24"/>
          <w:szCs w:val="24"/>
        </w:rPr>
        <w:lastRenderedPageBreak/>
        <w:t>функциональных доминант) переводчику нередко приходится идти на известные</w:t>
      </w:r>
      <w:r w:rsidR="00470409">
        <w:rPr>
          <w:rFonts w:ascii="Times New Roman" w:hAnsi="Times New Roman" w:cs="Times New Roman"/>
          <w:sz w:val="24"/>
          <w:szCs w:val="24"/>
        </w:rPr>
        <w:t xml:space="preserve"> потери» [</w:t>
      </w:r>
      <w:proofErr w:type="spellStart"/>
      <w:r w:rsidR="00470409">
        <w:rPr>
          <w:rFonts w:ascii="Times New Roman" w:hAnsi="Times New Roman" w:cs="Times New Roman"/>
          <w:sz w:val="24"/>
          <w:szCs w:val="24"/>
        </w:rPr>
        <w:t>Швейцер</w:t>
      </w:r>
      <w:proofErr w:type="spellEnd"/>
      <w:r w:rsidR="00470409">
        <w:rPr>
          <w:rFonts w:ascii="Times New Roman" w:hAnsi="Times New Roman" w:cs="Times New Roman"/>
          <w:sz w:val="24"/>
          <w:szCs w:val="24"/>
        </w:rPr>
        <w:t xml:space="preserve"> 1988: 96]. </w:t>
      </w:r>
    </w:p>
    <w:p w:rsidR="00FC7A22" w:rsidRPr="00F37E1A" w:rsidRDefault="00F37E1A" w:rsidP="00F37E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37E1A">
        <w:rPr>
          <w:rFonts w:ascii="Times New Roman" w:hAnsi="Times New Roman" w:cs="Times New Roman"/>
          <w:sz w:val="24"/>
          <w:szCs w:val="24"/>
        </w:rPr>
        <w:t>В категории эквивалентности нах</w:t>
      </w:r>
      <w:r w:rsidR="00470409">
        <w:rPr>
          <w:rFonts w:ascii="Times New Roman" w:hAnsi="Times New Roman" w:cs="Times New Roman"/>
          <w:sz w:val="24"/>
          <w:szCs w:val="24"/>
        </w:rPr>
        <w:t>одит отражение семантический ас</w:t>
      </w:r>
      <w:r w:rsidRPr="00F37E1A">
        <w:rPr>
          <w:rFonts w:ascii="Times New Roman" w:hAnsi="Times New Roman" w:cs="Times New Roman"/>
          <w:sz w:val="24"/>
          <w:szCs w:val="24"/>
        </w:rPr>
        <w:t>пект перевода, в категории адекватности – прагматический. Понятие эквивалентности всегда ориентировано на исходный текст, который детерминируется первичной ком</w:t>
      </w:r>
      <w:r w:rsidR="00470409">
        <w:rPr>
          <w:rFonts w:ascii="Times New Roman" w:hAnsi="Times New Roman" w:cs="Times New Roman"/>
          <w:sz w:val="24"/>
          <w:szCs w:val="24"/>
        </w:rPr>
        <w:t>муникативной ситуацией и ее ком</w:t>
      </w:r>
      <w:r w:rsidRPr="00F37E1A">
        <w:rPr>
          <w:rFonts w:ascii="Times New Roman" w:hAnsi="Times New Roman" w:cs="Times New Roman"/>
          <w:sz w:val="24"/>
          <w:szCs w:val="24"/>
        </w:rPr>
        <w:t xml:space="preserve">понентами (коммуникативной установкой </w:t>
      </w:r>
      <w:r w:rsidR="00470409">
        <w:rPr>
          <w:rFonts w:ascii="Times New Roman" w:hAnsi="Times New Roman" w:cs="Times New Roman"/>
          <w:sz w:val="24"/>
          <w:szCs w:val="24"/>
        </w:rPr>
        <w:t>первичного отправителя, установ</w:t>
      </w:r>
      <w:r w:rsidRPr="00F37E1A">
        <w:rPr>
          <w:rFonts w:ascii="Times New Roman" w:hAnsi="Times New Roman" w:cs="Times New Roman"/>
          <w:sz w:val="24"/>
          <w:szCs w:val="24"/>
        </w:rPr>
        <w:t>кой на первичную аудиторию). Понятие а</w:t>
      </w:r>
      <w:r w:rsidR="00470409">
        <w:rPr>
          <w:rFonts w:ascii="Times New Roman" w:hAnsi="Times New Roman" w:cs="Times New Roman"/>
          <w:sz w:val="24"/>
          <w:szCs w:val="24"/>
        </w:rPr>
        <w:t>декватности ориентировано на со</w:t>
      </w:r>
      <w:r w:rsidRPr="00F37E1A">
        <w:rPr>
          <w:rFonts w:ascii="Times New Roman" w:hAnsi="Times New Roman" w:cs="Times New Roman"/>
          <w:sz w:val="24"/>
          <w:szCs w:val="24"/>
        </w:rPr>
        <w:t>ответствие перевода на вторичную коммуникативную ситуацию (установка на другого адресата, на другую культуру,</w:t>
      </w:r>
      <w:r w:rsidR="00470409">
        <w:rPr>
          <w:rFonts w:ascii="Times New Roman" w:hAnsi="Times New Roman" w:cs="Times New Roman"/>
          <w:sz w:val="24"/>
          <w:szCs w:val="24"/>
        </w:rPr>
        <w:t xml:space="preserve"> в частности на иную норму пере</w:t>
      </w:r>
      <w:r w:rsidRPr="00F37E1A">
        <w:rPr>
          <w:rFonts w:ascii="Times New Roman" w:hAnsi="Times New Roman" w:cs="Times New Roman"/>
          <w:sz w:val="24"/>
          <w:szCs w:val="24"/>
        </w:rPr>
        <w:t>вода и литературную традицию, специф</w:t>
      </w:r>
      <w:r w:rsidR="00470409">
        <w:rPr>
          <w:rFonts w:ascii="Times New Roman" w:hAnsi="Times New Roman" w:cs="Times New Roman"/>
          <w:sz w:val="24"/>
          <w:szCs w:val="24"/>
        </w:rPr>
        <w:t>ическая коммуникативная цель пе</w:t>
      </w:r>
      <w:r w:rsidRPr="00F37E1A">
        <w:rPr>
          <w:rFonts w:ascii="Times New Roman" w:hAnsi="Times New Roman" w:cs="Times New Roman"/>
          <w:sz w:val="24"/>
          <w:szCs w:val="24"/>
        </w:rPr>
        <w:t>ревода и др.). Это значит, что «адекватность – относительное понятие. Перевод, адекватный с позиций одной переводческой школы, может быть неадекватным с позиций другой» [</w:t>
      </w:r>
      <w:proofErr w:type="spellStart"/>
      <w:r w:rsidRPr="00F37E1A">
        <w:rPr>
          <w:rFonts w:ascii="Times New Roman" w:hAnsi="Times New Roman" w:cs="Times New Roman"/>
          <w:sz w:val="24"/>
          <w:szCs w:val="24"/>
        </w:rPr>
        <w:t>Швейцер</w:t>
      </w:r>
      <w:proofErr w:type="spellEnd"/>
      <w:r w:rsidRPr="00F37E1A">
        <w:rPr>
          <w:rFonts w:ascii="Times New Roman" w:hAnsi="Times New Roman" w:cs="Times New Roman"/>
          <w:sz w:val="24"/>
          <w:szCs w:val="24"/>
        </w:rPr>
        <w:t xml:space="preserve"> 1988: 99].</w:t>
      </w:r>
    </w:p>
    <w:sectPr w:rsidR="00FC7A22" w:rsidRPr="00F37E1A" w:rsidSect="00FC7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E1A"/>
    <w:rsid w:val="00470409"/>
    <w:rsid w:val="00F37E1A"/>
    <w:rsid w:val="00FC7A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A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2</cp:revision>
  <dcterms:created xsi:type="dcterms:W3CDTF">2024-06-27T06:01:00Z</dcterms:created>
  <dcterms:modified xsi:type="dcterms:W3CDTF">2024-06-27T06:15:00Z</dcterms:modified>
</cp:coreProperties>
</file>