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1B0" w:rsidRP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31B0">
        <w:rPr>
          <w:rFonts w:ascii="Times New Roman" w:hAnsi="Times New Roman" w:cs="Times New Roman"/>
          <w:b/>
          <w:sz w:val="24"/>
          <w:szCs w:val="24"/>
        </w:rPr>
        <w:t>Нестерова, Н.М. Теория перевода: ключевые во</w:t>
      </w:r>
      <w:r>
        <w:rPr>
          <w:rFonts w:ascii="Times New Roman" w:hAnsi="Times New Roman" w:cs="Times New Roman"/>
          <w:b/>
          <w:sz w:val="24"/>
          <w:szCs w:val="24"/>
        </w:rPr>
        <w:t>просы : учеб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особие / Н.М. Не</w:t>
      </w:r>
      <w:r w:rsidRPr="009F31B0">
        <w:rPr>
          <w:rFonts w:ascii="Times New Roman" w:hAnsi="Times New Roman" w:cs="Times New Roman"/>
          <w:b/>
          <w:sz w:val="24"/>
          <w:szCs w:val="24"/>
        </w:rPr>
        <w:t>стерова, Е.А. Наугольных, А.Ю. Наугольных. – Пермь</w:t>
      </w:r>
      <w:proofErr w:type="gramStart"/>
      <w:r w:rsidRPr="009F31B0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9F31B0">
        <w:rPr>
          <w:rFonts w:ascii="Times New Roman" w:hAnsi="Times New Roman" w:cs="Times New Roman"/>
          <w:b/>
          <w:sz w:val="24"/>
          <w:szCs w:val="24"/>
        </w:rPr>
        <w:t xml:space="preserve"> Изд-во </w:t>
      </w:r>
      <w:proofErr w:type="spellStart"/>
      <w:r w:rsidRPr="009F31B0">
        <w:rPr>
          <w:rFonts w:ascii="Times New Roman" w:hAnsi="Times New Roman" w:cs="Times New Roman"/>
          <w:b/>
          <w:sz w:val="24"/>
          <w:szCs w:val="24"/>
        </w:rPr>
        <w:t>Перм</w:t>
      </w:r>
      <w:proofErr w:type="spellEnd"/>
      <w:r w:rsidRPr="009F31B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9F31B0">
        <w:rPr>
          <w:rFonts w:ascii="Times New Roman" w:hAnsi="Times New Roman" w:cs="Times New Roman"/>
          <w:b/>
          <w:sz w:val="24"/>
          <w:szCs w:val="24"/>
        </w:rPr>
        <w:t>нац</w:t>
      </w:r>
      <w:proofErr w:type="spellEnd"/>
      <w:r w:rsidRPr="009F31B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9F31B0">
        <w:rPr>
          <w:rFonts w:ascii="Times New Roman" w:hAnsi="Times New Roman" w:cs="Times New Roman"/>
          <w:b/>
          <w:sz w:val="24"/>
          <w:szCs w:val="24"/>
        </w:rPr>
        <w:t>исслед</w:t>
      </w:r>
      <w:proofErr w:type="spellEnd"/>
      <w:r w:rsidRPr="009F31B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9F31B0">
        <w:rPr>
          <w:rFonts w:ascii="Times New Roman" w:hAnsi="Times New Roman" w:cs="Times New Roman"/>
          <w:b/>
          <w:sz w:val="24"/>
          <w:szCs w:val="24"/>
        </w:rPr>
        <w:t>политехн</w:t>
      </w:r>
      <w:proofErr w:type="spellEnd"/>
      <w:r w:rsidRPr="009F31B0">
        <w:rPr>
          <w:rFonts w:ascii="Times New Roman" w:hAnsi="Times New Roman" w:cs="Times New Roman"/>
          <w:b/>
          <w:sz w:val="24"/>
          <w:szCs w:val="24"/>
        </w:rPr>
        <w:t xml:space="preserve">. ун-та, 2012. – 108 </w:t>
      </w:r>
      <w:proofErr w:type="gramStart"/>
      <w:r w:rsidRPr="009F31B0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9F31B0">
        <w:rPr>
          <w:rFonts w:ascii="Times New Roman" w:hAnsi="Times New Roman" w:cs="Times New Roman"/>
          <w:b/>
          <w:sz w:val="24"/>
          <w:szCs w:val="24"/>
        </w:rPr>
        <w:t>.</w:t>
      </w:r>
    </w:p>
    <w:p w:rsidR="009F31B0" w:rsidRPr="009F31B0" w:rsidRDefault="009F31B0" w:rsidP="009F31B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31B0">
        <w:rPr>
          <w:rFonts w:ascii="Times New Roman" w:hAnsi="Times New Roman" w:cs="Times New Roman"/>
          <w:b/>
          <w:sz w:val="24"/>
          <w:szCs w:val="24"/>
        </w:rPr>
        <w:t xml:space="preserve">Эквивалентность как ключевое понятие </w:t>
      </w:r>
      <w:proofErr w:type="spellStart"/>
      <w:r w:rsidRPr="009F31B0">
        <w:rPr>
          <w:rFonts w:ascii="Times New Roman" w:hAnsi="Times New Roman" w:cs="Times New Roman"/>
          <w:b/>
          <w:sz w:val="24"/>
          <w:szCs w:val="24"/>
        </w:rPr>
        <w:t>переводоведения</w:t>
      </w:r>
      <w:proofErr w:type="spellEnd"/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t>1. В лингвистической теории перево</w:t>
      </w:r>
      <w:r>
        <w:rPr>
          <w:rFonts w:ascii="Times New Roman" w:hAnsi="Times New Roman" w:cs="Times New Roman"/>
          <w:sz w:val="24"/>
          <w:szCs w:val="24"/>
        </w:rPr>
        <w:t>да эквивалентность считается ос</w:t>
      </w:r>
      <w:r w:rsidRPr="009F31B0">
        <w:rPr>
          <w:rFonts w:ascii="Times New Roman" w:hAnsi="Times New Roman" w:cs="Times New Roman"/>
          <w:sz w:val="24"/>
          <w:szCs w:val="24"/>
        </w:rPr>
        <w:t>новным понятием, определяющим отноше</w:t>
      </w:r>
      <w:r>
        <w:rPr>
          <w:rFonts w:ascii="Times New Roman" w:hAnsi="Times New Roman" w:cs="Times New Roman"/>
          <w:sz w:val="24"/>
          <w:szCs w:val="24"/>
        </w:rPr>
        <w:t>ния оригинала и перевода. Созда</w:t>
      </w:r>
      <w:r w:rsidRPr="009F31B0">
        <w:rPr>
          <w:rFonts w:ascii="Times New Roman" w:hAnsi="Times New Roman" w:cs="Times New Roman"/>
          <w:sz w:val="24"/>
          <w:szCs w:val="24"/>
        </w:rPr>
        <w:t xml:space="preserve">ние текста перевода, эквивалентного оригиналу, – это то, к чему должен стремиться переводчик в своей работе. Она рассматривается как его 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консти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туирующий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признак. Согласно традиционному лингвистическому взгляду, именно эквивалентные отношения ориг</w:t>
      </w:r>
      <w:r>
        <w:rPr>
          <w:rFonts w:ascii="Times New Roman" w:hAnsi="Times New Roman" w:cs="Times New Roman"/>
          <w:sz w:val="24"/>
          <w:szCs w:val="24"/>
        </w:rPr>
        <w:t>инала и перевода позволяют отде</w:t>
      </w:r>
      <w:r w:rsidRPr="009F31B0">
        <w:rPr>
          <w:rFonts w:ascii="Times New Roman" w:hAnsi="Times New Roman" w:cs="Times New Roman"/>
          <w:sz w:val="24"/>
          <w:szCs w:val="24"/>
        </w:rPr>
        <w:t xml:space="preserve">лить перевод от других видов вторичных текстов (реферата, пересказа, </w:t>
      </w:r>
      <w:proofErr w:type="gramStart"/>
      <w:r w:rsidRPr="009F31B0">
        <w:rPr>
          <w:rFonts w:ascii="Times New Roman" w:hAnsi="Times New Roman" w:cs="Times New Roman"/>
          <w:sz w:val="24"/>
          <w:szCs w:val="24"/>
        </w:rPr>
        <w:t>под</w:t>
      </w:r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ражания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и пр.). Термин «эквивалент» стан</w:t>
      </w:r>
      <w:r>
        <w:rPr>
          <w:rFonts w:ascii="Times New Roman" w:hAnsi="Times New Roman" w:cs="Times New Roman"/>
          <w:sz w:val="24"/>
          <w:szCs w:val="24"/>
        </w:rPr>
        <w:t xml:space="preserve">овится, как пишет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Топер</w:t>
      </w:r>
      <w:proofErr w:type="spellEnd"/>
      <w:r>
        <w:rPr>
          <w:rFonts w:ascii="Times New Roman" w:hAnsi="Times New Roman" w:cs="Times New Roman"/>
          <w:sz w:val="24"/>
          <w:szCs w:val="24"/>
        </w:rPr>
        <w:t>, «ос</w:t>
      </w:r>
      <w:r w:rsidRPr="009F31B0">
        <w:rPr>
          <w:rFonts w:ascii="Times New Roman" w:hAnsi="Times New Roman" w:cs="Times New Roman"/>
          <w:sz w:val="24"/>
          <w:szCs w:val="24"/>
        </w:rPr>
        <w:t>новным в лингвистическом инструментарии переводческого анализа, без него невозможно провести четкую границу между “переводом” и “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изло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жением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>”, “рефератом”» [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Топер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2000: 176]. Аналогичную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оценку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понятия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r w:rsidRPr="009F31B0">
        <w:rPr>
          <w:rFonts w:ascii="Times New Roman" w:hAnsi="Times New Roman" w:cs="Times New Roman"/>
          <w:sz w:val="24"/>
          <w:szCs w:val="24"/>
        </w:rPr>
        <w:t>эквивалентность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r w:rsidRPr="009F31B0">
        <w:rPr>
          <w:rFonts w:ascii="Times New Roman" w:hAnsi="Times New Roman" w:cs="Times New Roman"/>
          <w:sz w:val="24"/>
          <w:szCs w:val="24"/>
        </w:rPr>
        <w:t>находим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и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в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западной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науке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о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переводе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: «Equivalence is crucial to translation because it is unique </w:t>
      </w:r>
      <w:proofErr w:type="spellStart"/>
      <w:r w:rsidRPr="009F31B0">
        <w:rPr>
          <w:rFonts w:ascii="Times New Roman" w:hAnsi="Times New Roman" w:cs="Times New Roman"/>
          <w:sz w:val="24"/>
          <w:szCs w:val="24"/>
          <w:lang w:val="en-US"/>
        </w:rPr>
        <w:t>intertextual</w:t>
      </w:r>
      <w:proofErr w:type="spellEnd"/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relation that only </w:t>
      </w:r>
      <w:proofErr w:type="gramStart"/>
      <w:r w:rsidRPr="009F31B0">
        <w:rPr>
          <w:rFonts w:ascii="Times New Roman" w:hAnsi="Times New Roman" w:cs="Times New Roman"/>
          <w:sz w:val="24"/>
          <w:szCs w:val="24"/>
          <w:lang w:val="en-US"/>
        </w:rPr>
        <w:t>translation, among all conceivable text types, are</w:t>
      </w:r>
      <w:proofErr w:type="gramEnd"/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expected to show» [</w:t>
      </w:r>
      <w:proofErr w:type="spellStart"/>
      <w:r w:rsidRPr="009F31B0">
        <w:rPr>
          <w:rFonts w:ascii="Times New Roman" w:hAnsi="Times New Roman" w:cs="Times New Roman"/>
          <w:sz w:val="24"/>
          <w:szCs w:val="24"/>
          <w:lang w:val="en-US"/>
        </w:rPr>
        <w:t>Routledge</w:t>
      </w:r>
      <w:proofErr w:type="spellEnd"/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2001: 80].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t xml:space="preserve"> 2. Таким образом, эквивалентност</w:t>
      </w:r>
      <w:r>
        <w:rPr>
          <w:rFonts w:ascii="Times New Roman" w:hAnsi="Times New Roman" w:cs="Times New Roman"/>
          <w:sz w:val="24"/>
          <w:szCs w:val="24"/>
        </w:rPr>
        <w:t>ь рассматривается как конституи</w:t>
      </w:r>
      <w:r w:rsidRPr="009F31B0">
        <w:rPr>
          <w:rFonts w:ascii="Times New Roman" w:hAnsi="Times New Roman" w:cs="Times New Roman"/>
          <w:sz w:val="24"/>
          <w:szCs w:val="24"/>
        </w:rPr>
        <w:t>рующий признак перевода, о чем и свидетельствуют его определения (</w:t>
      </w:r>
      <w:proofErr w:type="gramStart"/>
      <w:r w:rsidRPr="009F31B0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9F31B0">
        <w:rPr>
          <w:rFonts w:ascii="Times New Roman" w:hAnsi="Times New Roman" w:cs="Times New Roman"/>
          <w:sz w:val="24"/>
          <w:szCs w:val="24"/>
        </w:rPr>
        <w:t>. [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Топер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2000]): «Перевод может быть оп</w:t>
      </w:r>
      <w:r>
        <w:rPr>
          <w:rFonts w:ascii="Times New Roman" w:hAnsi="Times New Roman" w:cs="Times New Roman"/>
          <w:sz w:val="24"/>
          <w:szCs w:val="24"/>
        </w:rPr>
        <w:t>ределен следующим образом: заме</w:t>
      </w:r>
      <w:r w:rsidRPr="009F31B0">
        <w:rPr>
          <w:rFonts w:ascii="Times New Roman" w:hAnsi="Times New Roman" w:cs="Times New Roman"/>
          <w:sz w:val="24"/>
          <w:szCs w:val="24"/>
        </w:rPr>
        <w:t xml:space="preserve">щение текстового материала на одном языке (ИЯ) эквивалентным текстовым материалом на другом языке (ПЯ)» (Дж.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Кэтфорд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>).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t xml:space="preserve"> 3. «Перевод заключается в воспроизведении на языке-рецепторе 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наи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>более</w:t>
      </w:r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близкого естественного эквивалента высказывания на исходном языке, во-первых, с точки зрения содержания» (Ю.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Найда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и Ч.Р.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Табер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t>4. Статус текста перевода позволяет цитировать по нему оригинал, судить о качествах последнего и даже оцен</w:t>
      </w:r>
      <w:r>
        <w:rPr>
          <w:rFonts w:ascii="Times New Roman" w:hAnsi="Times New Roman" w:cs="Times New Roman"/>
          <w:sz w:val="24"/>
          <w:szCs w:val="24"/>
        </w:rPr>
        <w:t>ивать язык и стиль автора ориги</w:t>
      </w:r>
      <w:r w:rsidRPr="009F31B0">
        <w:rPr>
          <w:rFonts w:ascii="Times New Roman" w:hAnsi="Times New Roman" w:cs="Times New Roman"/>
          <w:sz w:val="24"/>
          <w:szCs w:val="24"/>
        </w:rPr>
        <w:t>нала. Такое понимание статуса текста пер</w:t>
      </w:r>
      <w:r>
        <w:rPr>
          <w:rFonts w:ascii="Times New Roman" w:hAnsi="Times New Roman" w:cs="Times New Roman"/>
          <w:sz w:val="24"/>
          <w:szCs w:val="24"/>
        </w:rPr>
        <w:t>евода находит отражение и в фор</w:t>
      </w:r>
      <w:r w:rsidRPr="009F31B0">
        <w:rPr>
          <w:rFonts w:ascii="Times New Roman" w:hAnsi="Times New Roman" w:cs="Times New Roman"/>
          <w:sz w:val="24"/>
          <w:szCs w:val="24"/>
        </w:rPr>
        <w:t>мулировке задачи переводчика, согласно к</w:t>
      </w:r>
      <w:r>
        <w:rPr>
          <w:rFonts w:ascii="Times New Roman" w:hAnsi="Times New Roman" w:cs="Times New Roman"/>
          <w:sz w:val="24"/>
          <w:szCs w:val="24"/>
        </w:rPr>
        <w:t>оторой задача переводчика – «пе</w:t>
      </w:r>
      <w:r w:rsidRPr="009F31B0">
        <w:rPr>
          <w:rFonts w:ascii="Times New Roman" w:hAnsi="Times New Roman" w:cs="Times New Roman"/>
          <w:sz w:val="24"/>
          <w:szCs w:val="24"/>
        </w:rPr>
        <w:t xml:space="preserve">редать средствами другого языка целостно и точно содержание подлинника, сохранив его стилистические и экспрессивные особенности» (Я.И.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Рецкер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>).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t xml:space="preserve"> 5. Термин «эквивалентность» в теории перевода </w:t>
      </w:r>
      <w:r>
        <w:rPr>
          <w:rFonts w:ascii="Times New Roman" w:hAnsi="Times New Roman" w:cs="Times New Roman"/>
          <w:sz w:val="24"/>
          <w:szCs w:val="24"/>
        </w:rPr>
        <w:t>был впервые исполь</w:t>
      </w:r>
      <w:r w:rsidRPr="009F31B0">
        <w:rPr>
          <w:rFonts w:ascii="Times New Roman" w:hAnsi="Times New Roman" w:cs="Times New Roman"/>
          <w:sz w:val="24"/>
          <w:szCs w:val="24"/>
        </w:rPr>
        <w:t>зован применительно к машинному перев</w:t>
      </w:r>
      <w:r>
        <w:rPr>
          <w:rFonts w:ascii="Times New Roman" w:hAnsi="Times New Roman" w:cs="Times New Roman"/>
          <w:sz w:val="24"/>
          <w:szCs w:val="24"/>
        </w:rPr>
        <w:t>оду и был заимствован из матема</w:t>
      </w:r>
      <w:r w:rsidRPr="009F31B0">
        <w:rPr>
          <w:rFonts w:ascii="Times New Roman" w:hAnsi="Times New Roman" w:cs="Times New Roman"/>
          <w:sz w:val="24"/>
          <w:szCs w:val="24"/>
        </w:rPr>
        <w:t xml:space="preserve">тики и логики. В лингвистическую теорию он пришел из работы Р. Якобсона «О лингвистических аспектах перевода», </w:t>
      </w:r>
      <w:r>
        <w:rPr>
          <w:rFonts w:ascii="Times New Roman" w:hAnsi="Times New Roman" w:cs="Times New Roman"/>
          <w:sz w:val="24"/>
          <w:szCs w:val="24"/>
        </w:rPr>
        <w:t>написанной в 1959 году (</w:t>
      </w:r>
      <w:proofErr w:type="gramStart"/>
      <w:r>
        <w:rPr>
          <w:rFonts w:ascii="Times New Roman" w:hAnsi="Times New Roman" w:cs="Times New Roman"/>
          <w:sz w:val="24"/>
          <w:szCs w:val="24"/>
        </w:rPr>
        <w:t>см</w:t>
      </w:r>
      <w:proofErr w:type="gramEnd"/>
      <w:r>
        <w:rPr>
          <w:rFonts w:ascii="Times New Roman" w:hAnsi="Times New Roman" w:cs="Times New Roman"/>
          <w:sz w:val="24"/>
          <w:szCs w:val="24"/>
        </w:rPr>
        <w:t>. эпи</w:t>
      </w:r>
      <w:r w:rsidRPr="009F31B0">
        <w:rPr>
          <w:rFonts w:ascii="Times New Roman" w:hAnsi="Times New Roman" w:cs="Times New Roman"/>
          <w:sz w:val="24"/>
          <w:szCs w:val="24"/>
        </w:rPr>
        <w:t xml:space="preserve">граф). 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lastRenderedPageBreak/>
        <w:t>6. В лингвистике перевода важне</w:t>
      </w:r>
      <w:r>
        <w:rPr>
          <w:rFonts w:ascii="Times New Roman" w:hAnsi="Times New Roman" w:cs="Times New Roman"/>
          <w:sz w:val="24"/>
          <w:szCs w:val="24"/>
        </w:rPr>
        <w:t>йшим вопросом становится опреде</w:t>
      </w:r>
      <w:r w:rsidRPr="009F31B0">
        <w:rPr>
          <w:rFonts w:ascii="Times New Roman" w:hAnsi="Times New Roman" w:cs="Times New Roman"/>
          <w:sz w:val="24"/>
          <w:szCs w:val="24"/>
        </w:rPr>
        <w:t>ление критериев эквивалентности. Ключевые вопросы в лингвистике пере</w:t>
      </w:r>
      <w:r w:rsidRPr="009F31B0">
        <w:rPr>
          <w:rFonts w:ascii="Times New Roman" w:hAnsi="Times New Roman" w:cs="Times New Roman"/>
          <w:sz w:val="24"/>
          <w:szCs w:val="24"/>
        </w:rPr>
        <w:t xml:space="preserve">вода: что должно быть эквивалентным и как достичь этой эквивалентности? 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t>7. Невозможность дать универсальн</w:t>
      </w:r>
      <w:r>
        <w:rPr>
          <w:rFonts w:ascii="Times New Roman" w:hAnsi="Times New Roman" w:cs="Times New Roman"/>
          <w:sz w:val="24"/>
          <w:szCs w:val="24"/>
        </w:rPr>
        <w:t>ое, во всех отношениях релевант</w:t>
      </w:r>
      <w:r w:rsidRPr="009F31B0">
        <w:rPr>
          <w:rFonts w:ascii="Times New Roman" w:hAnsi="Times New Roman" w:cs="Times New Roman"/>
          <w:sz w:val="24"/>
          <w:szCs w:val="24"/>
        </w:rPr>
        <w:t>ное определение эквивалентности приве</w:t>
      </w:r>
      <w:r>
        <w:rPr>
          <w:rFonts w:ascii="Times New Roman" w:hAnsi="Times New Roman" w:cs="Times New Roman"/>
          <w:sz w:val="24"/>
          <w:szCs w:val="24"/>
        </w:rPr>
        <w:t>ла к выделению множества ее раз</w:t>
      </w:r>
      <w:r w:rsidRPr="009F31B0">
        <w:rPr>
          <w:rFonts w:ascii="Times New Roman" w:hAnsi="Times New Roman" w:cs="Times New Roman"/>
          <w:sz w:val="24"/>
          <w:szCs w:val="24"/>
        </w:rPr>
        <w:t>нообразных типов: • денотативная (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референциальная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); •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коннотативная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; •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тексто-нормативная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(контекстуальная); • пр</w:t>
      </w:r>
      <w:r>
        <w:rPr>
          <w:rFonts w:ascii="Times New Roman" w:hAnsi="Times New Roman" w:cs="Times New Roman"/>
          <w:sz w:val="24"/>
          <w:szCs w:val="24"/>
        </w:rPr>
        <w:t xml:space="preserve">агматическая; • динамическая; </w:t>
      </w:r>
      <w:r w:rsidRPr="009F31B0">
        <w:rPr>
          <w:rFonts w:ascii="Times New Roman" w:hAnsi="Times New Roman" w:cs="Times New Roman"/>
          <w:sz w:val="24"/>
          <w:szCs w:val="24"/>
        </w:rPr>
        <w:t xml:space="preserve"> • формальная; • функциональная; • текстуальная (информативная); • количественная (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one-to-one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one-to-many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one-to-part-of-one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zero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t xml:space="preserve">8. Наиболее принципиальным различием в рассмотрении 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эквива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лентности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является уровень единицы, на котором устанавливается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эквива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лентность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. Она рассматривается или на уровне единиц текста (Я.И.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Рецкер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В.Н. Комиссаров), или на уровне текста (А.Д.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Швейцер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Л.К. Латышев). </w:t>
      </w:r>
    </w:p>
    <w:p w:rsidR="009F31B0" w:rsidRP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31B0">
        <w:rPr>
          <w:rFonts w:ascii="Times New Roman" w:hAnsi="Times New Roman" w:cs="Times New Roman"/>
          <w:b/>
          <w:sz w:val="24"/>
          <w:szCs w:val="24"/>
        </w:rPr>
        <w:t xml:space="preserve">Эквивалентность на уровне единиц текста 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t xml:space="preserve">1. Теория закономерных соответствий Я.И.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Рецкера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9F31B0">
        <w:rPr>
          <w:rFonts w:ascii="Times New Roman" w:hAnsi="Times New Roman" w:cs="Times New Roman"/>
          <w:sz w:val="24"/>
          <w:szCs w:val="24"/>
        </w:rPr>
        <w:t>Три категории соответствий: (а) эквиваленты, установившиеся в силу тождества обозначаемого, а также отложившиеся в традиции языковых контактов; (б) вариативные и контекстуальные соответствия; (в) трансформации (лексические и грамматические).</w:t>
      </w:r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Эквиваленты относятся к сфере языка, тогда как вариантные 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соответ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ствия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и трансформации – к сфере речи. Там, где между языками установи</w:t>
      </w:r>
      <w:r w:rsidRPr="009F31B0">
        <w:rPr>
          <w:rFonts w:ascii="Times New Roman" w:hAnsi="Times New Roman" w:cs="Times New Roman"/>
          <w:sz w:val="24"/>
          <w:szCs w:val="24"/>
        </w:rPr>
        <w:t xml:space="preserve">лось традиционное эквивалентное соответствие, переводчик фактически лишен возможности выбора. 2. Уровневая теория эквивалентности В.Н. Комиссарова Уровни эквивалентности: 1-й уровень – цель коммуникации (для чего?). 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Maybe there is some chemistry between us doesn't mix. </w:t>
      </w:r>
      <w:r w:rsidRPr="009F31B0">
        <w:rPr>
          <w:rFonts w:ascii="Times New Roman" w:hAnsi="Times New Roman" w:cs="Times New Roman"/>
          <w:sz w:val="24"/>
          <w:szCs w:val="24"/>
        </w:rPr>
        <w:t>Бывает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9F31B0">
        <w:rPr>
          <w:rFonts w:ascii="Times New Roman" w:hAnsi="Times New Roman" w:cs="Times New Roman"/>
          <w:sz w:val="24"/>
          <w:szCs w:val="24"/>
        </w:rPr>
        <w:t>что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люди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не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сходятся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характерами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9F31B0">
        <w:rPr>
          <w:rFonts w:ascii="Times New Roman" w:hAnsi="Times New Roman" w:cs="Times New Roman"/>
          <w:sz w:val="24"/>
          <w:szCs w:val="24"/>
        </w:rPr>
        <w:t xml:space="preserve">2-й уровень – цель коммуникации и указание на определенную 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ситуа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цию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при изменении способа описания этой ситуации (для чего? 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+ </w:t>
      </w:r>
      <w:r w:rsidRPr="009F31B0">
        <w:rPr>
          <w:rFonts w:ascii="Times New Roman" w:hAnsi="Times New Roman" w:cs="Times New Roman"/>
          <w:sz w:val="24"/>
          <w:szCs w:val="24"/>
        </w:rPr>
        <w:t>что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?) You are not fit to be in a boat. </w:t>
      </w:r>
      <w:r w:rsidRPr="009F31B0">
        <w:rPr>
          <w:rFonts w:ascii="Times New Roman" w:hAnsi="Times New Roman" w:cs="Times New Roman"/>
          <w:sz w:val="24"/>
          <w:szCs w:val="24"/>
        </w:rPr>
        <w:t xml:space="preserve">Тебя нельзя пускать в лодку. 3-й уровень – цель коммуникации, указание на ситуацию и способ ее описания (для чего? 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+ </w:t>
      </w:r>
      <w:r w:rsidRPr="009F31B0">
        <w:rPr>
          <w:rFonts w:ascii="Times New Roman" w:hAnsi="Times New Roman" w:cs="Times New Roman"/>
          <w:sz w:val="24"/>
          <w:szCs w:val="24"/>
        </w:rPr>
        <w:t>что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? + </w:t>
      </w:r>
      <w:r w:rsidRPr="009F31B0">
        <w:rPr>
          <w:rFonts w:ascii="Times New Roman" w:hAnsi="Times New Roman" w:cs="Times New Roman"/>
          <w:sz w:val="24"/>
          <w:szCs w:val="24"/>
        </w:rPr>
        <w:t>как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?). </w:t>
      </w:r>
      <w:r w:rsidRPr="009F31B0">
        <w:rPr>
          <w:rFonts w:ascii="Times New Roman" w:hAnsi="Times New Roman" w:cs="Times New Roman"/>
          <w:sz w:val="24"/>
          <w:szCs w:val="24"/>
        </w:rPr>
        <w:t>Не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found him in his </w:t>
      </w:r>
      <w:proofErr w:type="spellStart"/>
      <w:r w:rsidRPr="009F31B0">
        <w:rPr>
          <w:rFonts w:ascii="Times New Roman" w:hAnsi="Times New Roman" w:cs="Times New Roman"/>
          <w:sz w:val="24"/>
          <w:szCs w:val="24"/>
          <w:lang w:val="en-US"/>
        </w:rPr>
        <w:t>slippered</w:t>
      </w:r>
      <w:proofErr w:type="spellEnd"/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ease by the fire. </w:t>
      </w:r>
      <w:r w:rsidRPr="009F31B0">
        <w:rPr>
          <w:rFonts w:ascii="Times New Roman" w:hAnsi="Times New Roman" w:cs="Times New Roman"/>
          <w:sz w:val="24"/>
          <w:szCs w:val="24"/>
        </w:rPr>
        <w:t xml:space="preserve">Он нашел своего друга отдыхающим в домашних туфлях у камина. 4-й уровень – цель коммуникации, указание на ту же ситуацию и 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спо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соб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ее описания, синтаксическая структура (для чего? + что? + как?). Не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was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never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tired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old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songs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. Старые песни ему никогда не надоедали. 5-й уровень – цель коммуникации, указание на ту же ситуацию и 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спо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соб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ее описания, синтаксическая структура и лексическое подобие (для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го? 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+ </w:t>
      </w:r>
      <w:r w:rsidRPr="009F31B0">
        <w:rPr>
          <w:rFonts w:ascii="Times New Roman" w:hAnsi="Times New Roman" w:cs="Times New Roman"/>
          <w:sz w:val="24"/>
          <w:szCs w:val="24"/>
        </w:rPr>
        <w:t>что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? + </w:t>
      </w:r>
      <w:r w:rsidRPr="009F31B0">
        <w:rPr>
          <w:rFonts w:ascii="Times New Roman" w:hAnsi="Times New Roman" w:cs="Times New Roman"/>
          <w:sz w:val="24"/>
          <w:szCs w:val="24"/>
        </w:rPr>
        <w:t>как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?). I saw him at the theatre. </w:t>
      </w:r>
      <w:r w:rsidRPr="009F31B0">
        <w:rPr>
          <w:rFonts w:ascii="Times New Roman" w:hAnsi="Times New Roman" w:cs="Times New Roman"/>
          <w:sz w:val="24"/>
          <w:szCs w:val="24"/>
        </w:rPr>
        <w:t>Я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видел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его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в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F31B0">
        <w:rPr>
          <w:rFonts w:ascii="Times New Roman" w:hAnsi="Times New Roman" w:cs="Times New Roman"/>
          <w:sz w:val="24"/>
          <w:szCs w:val="24"/>
        </w:rPr>
        <w:t>театре</w:t>
      </w:r>
      <w:r w:rsidRPr="009F31B0">
        <w:rPr>
          <w:rFonts w:ascii="Times New Roman" w:hAnsi="Times New Roman" w:cs="Times New Roman"/>
          <w:sz w:val="24"/>
          <w:szCs w:val="24"/>
          <w:lang w:val="en-US"/>
        </w:rPr>
        <w:t xml:space="preserve">. The house was sold for eighty thousand dollars. </w:t>
      </w:r>
      <w:r w:rsidRPr="009F31B0">
        <w:rPr>
          <w:rFonts w:ascii="Times New Roman" w:hAnsi="Times New Roman" w:cs="Times New Roman"/>
          <w:sz w:val="24"/>
          <w:szCs w:val="24"/>
        </w:rPr>
        <w:t xml:space="preserve">Дом был продан за восемьдесят тысяч долларов. 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b/>
          <w:sz w:val="24"/>
          <w:szCs w:val="24"/>
        </w:rPr>
        <w:t>Эквивалентность на уровне текста Концепции эквивалентности</w:t>
      </w:r>
      <w:r w:rsidRPr="009F31B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sz w:val="24"/>
          <w:szCs w:val="24"/>
        </w:rPr>
        <w:lastRenderedPageBreak/>
        <w:t xml:space="preserve">(а) Концепция формального соответствия; (б) Концепция нормативно-содержательного соответствия; (в) Концепция полноценного (адекватного) перевода; (г) Концепция динамической (функциональной) эквивалентности. </w:t>
      </w:r>
    </w:p>
    <w:p w:rsid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31B0">
        <w:rPr>
          <w:rFonts w:ascii="Times New Roman" w:hAnsi="Times New Roman" w:cs="Times New Roman"/>
          <w:b/>
          <w:sz w:val="24"/>
          <w:szCs w:val="24"/>
        </w:rPr>
        <w:t xml:space="preserve">Функциональная типология эквивалентности А.Д. </w:t>
      </w:r>
      <w:proofErr w:type="spellStart"/>
      <w:r w:rsidRPr="009F31B0">
        <w:rPr>
          <w:rFonts w:ascii="Times New Roman" w:hAnsi="Times New Roman" w:cs="Times New Roman"/>
          <w:b/>
          <w:sz w:val="24"/>
          <w:szCs w:val="24"/>
        </w:rPr>
        <w:t>Швейцера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8D" w:rsidRPr="009F31B0" w:rsidRDefault="009F31B0" w:rsidP="009F31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31B0">
        <w:rPr>
          <w:rFonts w:ascii="Times New Roman" w:hAnsi="Times New Roman" w:cs="Times New Roman"/>
          <w:sz w:val="24"/>
          <w:szCs w:val="24"/>
        </w:rPr>
        <w:t xml:space="preserve">Основа типологии – функции языка Р. Якобсона, отличающиеся друг от друга установкой на тот или иной компонент речевого акта: (а)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референтная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или денотативная (установка на референта или «кон</w:t>
      </w:r>
      <w:r w:rsidRPr="009F31B0">
        <w:rPr>
          <w:rFonts w:ascii="Times New Roman" w:hAnsi="Times New Roman" w:cs="Times New Roman"/>
          <w:sz w:val="24"/>
          <w:szCs w:val="24"/>
        </w:rPr>
        <w:t xml:space="preserve">текст»); (б) экспрессивная –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эмотивная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(установка на отправителя); (в)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конативная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– волеизъявительная (установка на получателя); (г)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фатическая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– контактоустанавливающая (установка на контакт между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коммуникантами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>); (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>) металингвистическая (установка на код);</w:t>
      </w:r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(е) поэтическая (установка на сообщение, на выбор его формы). «В соответствии с этими функциями можно говорить об </w:t>
      </w:r>
      <w:proofErr w:type="gramStart"/>
      <w:r w:rsidRPr="009F31B0">
        <w:rPr>
          <w:rFonts w:ascii="Times New Roman" w:hAnsi="Times New Roman" w:cs="Times New Roman"/>
          <w:sz w:val="24"/>
          <w:szCs w:val="24"/>
        </w:rPr>
        <w:t>эквивалент</w:t>
      </w:r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ности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референтной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экспрессивной,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конативной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фатической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металингви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стической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и поэтической. </w:t>
      </w:r>
      <w:proofErr w:type="gramStart"/>
      <w:r w:rsidRPr="009F31B0">
        <w:rPr>
          <w:rFonts w:ascii="Times New Roman" w:hAnsi="Times New Roman" w:cs="Times New Roman"/>
          <w:sz w:val="24"/>
          <w:szCs w:val="24"/>
        </w:rPr>
        <w:t>По сути, установление доминантных функций оригинала (референт</w:t>
      </w:r>
      <w:r w:rsidRPr="009F31B0">
        <w:rPr>
          <w:rFonts w:ascii="Times New Roman" w:hAnsi="Times New Roman" w:cs="Times New Roman"/>
          <w:sz w:val="24"/>
          <w:szCs w:val="24"/>
        </w:rPr>
        <w:t xml:space="preserve">ной, экспрессивной,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конативной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фатической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>, металингвистической или по</w:t>
      </w:r>
      <w:r w:rsidRPr="009F31B0">
        <w:rPr>
          <w:rFonts w:ascii="Times New Roman" w:hAnsi="Times New Roman" w:cs="Times New Roman"/>
          <w:sz w:val="24"/>
          <w:szCs w:val="24"/>
        </w:rPr>
        <w:t>этической) определяется прагматикой текста – коммуникативной интенцией отправителя и коммуникативным эффектом текста и предполагает наличие прагматической эквивалентности между оригиналом и переводом.</w:t>
      </w:r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Иными словами, прагматические факторы играю</w:t>
      </w:r>
      <w:r w:rsidR="00376E99">
        <w:rPr>
          <w:rFonts w:ascii="Times New Roman" w:hAnsi="Times New Roman" w:cs="Times New Roman"/>
          <w:sz w:val="24"/>
          <w:szCs w:val="24"/>
        </w:rPr>
        <w:t xml:space="preserve">т доминирующую </w:t>
      </w:r>
      <w:proofErr w:type="gramStart"/>
      <w:r w:rsidR="00376E99">
        <w:rPr>
          <w:rFonts w:ascii="Times New Roman" w:hAnsi="Times New Roman" w:cs="Times New Roman"/>
          <w:sz w:val="24"/>
          <w:szCs w:val="24"/>
        </w:rPr>
        <w:t>роль</w:t>
      </w:r>
      <w:proofErr w:type="gramEnd"/>
      <w:r w:rsidR="00376E99">
        <w:rPr>
          <w:rFonts w:ascii="Times New Roman" w:hAnsi="Times New Roman" w:cs="Times New Roman"/>
          <w:sz w:val="24"/>
          <w:szCs w:val="24"/>
        </w:rPr>
        <w:t xml:space="preserve"> как в иерар</w:t>
      </w:r>
      <w:r w:rsidRPr="009F31B0">
        <w:rPr>
          <w:rFonts w:ascii="Times New Roman" w:hAnsi="Times New Roman" w:cs="Times New Roman"/>
          <w:sz w:val="24"/>
          <w:szCs w:val="24"/>
        </w:rPr>
        <w:t>хической модели уровней эквивалентно</w:t>
      </w:r>
      <w:r w:rsidR="00376E99">
        <w:rPr>
          <w:rFonts w:ascii="Times New Roman" w:hAnsi="Times New Roman" w:cs="Times New Roman"/>
          <w:sz w:val="24"/>
          <w:szCs w:val="24"/>
        </w:rPr>
        <w:t>сти, так и в одномерной функцио</w:t>
      </w:r>
      <w:r w:rsidRPr="009F31B0">
        <w:rPr>
          <w:rFonts w:ascii="Times New Roman" w:hAnsi="Times New Roman" w:cs="Times New Roman"/>
          <w:sz w:val="24"/>
          <w:szCs w:val="24"/>
        </w:rPr>
        <w:t>нальной типологии эквивалентности» [</w:t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Швейцер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 xml:space="preserve"> 1988: 91]. «В речевом произведении, как правило, представлено несколько </w:t>
      </w:r>
      <w:proofErr w:type="spellStart"/>
      <w:proofErr w:type="gramStart"/>
      <w:r w:rsidRPr="009F31B0">
        <w:rPr>
          <w:rFonts w:ascii="Times New Roman" w:hAnsi="Times New Roman" w:cs="Times New Roman"/>
          <w:sz w:val="24"/>
          <w:szCs w:val="24"/>
        </w:rPr>
        <w:t>функ</w:t>
      </w:r>
      <w:proofErr w:type="spellEnd"/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ций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, причем роль этих функций неодинакова. Элементы языка, </w:t>
      </w:r>
      <w:proofErr w:type="gramStart"/>
      <w:r w:rsidRPr="009F31B0">
        <w:rPr>
          <w:rFonts w:ascii="Times New Roman" w:hAnsi="Times New Roman" w:cs="Times New Roman"/>
          <w:sz w:val="24"/>
          <w:szCs w:val="24"/>
        </w:rPr>
        <w:t>воплощаю</w:t>
      </w:r>
      <w:r w:rsidRPr="009F31B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9F31B0">
        <w:rPr>
          <w:rFonts w:ascii="Times New Roman" w:hAnsi="Times New Roman" w:cs="Times New Roman"/>
          <w:sz w:val="24"/>
          <w:szCs w:val="24"/>
        </w:rPr>
        <w:t>щие</w:t>
      </w:r>
      <w:proofErr w:type="spellEnd"/>
      <w:proofErr w:type="gramEnd"/>
      <w:r w:rsidRPr="009F31B0">
        <w:rPr>
          <w:rFonts w:ascii="Times New Roman" w:hAnsi="Times New Roman" w:cs="Times New Roman"/>
          <w:sz w:val="24"/>
          <w:szCs w:val="24"/>
        </w:rPr>
        <w:t xml:space="preserve"> доминирующую функцию, называются функциональной доминантой. От одного речевого произведения к другому, от текста к тексту меняются функции и, соответственно, функциональные доминанты. Исходя из этого, перевод рассматривается как процесс пои</w:t>
      </w:r>
      <w:r w:rsidR="00376E99">
        <w:rPr>
          <w:rFonts w:ascii="Times New Roman" w:hAnsi="Times New Roman" w:cs="Times New Roman"/>
          <w:sz w:val="24"/>
          <w:szCs w:val="24"/>
        </w:rPr>
        <w:t>ска решения, отвечающего опреде</w:t>
      </w:r>
      <w:r w:rsidRPr="009F31B0">
        <w:rPr>
          <w:rFonts w:ascii="Times New Roman" w:hAnsi="Times New Roman" w:cs="Times New Roman"/>
          <w:sz w:val="24"/>
          <w:szCs w:val="24"/>
        </w:rPr>
        <w:t>ленному набору варьирующихся функциональных критериев» [Латышев 1981: 11].</w:t>
      </w:r>
    </w:p>
    <w:sectPr w:rsidR="00382C8D" w:rsidRPr="009F31B0" w:rsidSect="00382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31B0"/>
    <w:rsid w:val="00376E99"/>
    <w:rsid w:val="00382C8D"/>
    <w:rsid w:val="009F3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1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1052</Words>
  <Characters>6003</Characters>
  <Application>Microsoft Office Word</Application>
  <DocSecurity>0</DocSecurity>
  <Lines>50</Lines>
  <Paragraphs>14</Paragraphs>
  <ScaleCrop>false</ScaleCrop>
  <Company>DG Win&amp;Soft</Company>
  <LinksUpToDate>false</LinksUpToDate>
  <CharactersWithSpaces>7041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2</cp:revision>
  <dcterms:created xsi:type="dcterms:W3CDTF">2024-06-26T10:19:00Z</dcterms:created>
  <dcterms:modified xsi:type="dcterms:W3CDTF">2024-06-26T10:23:00Z</dcterms:modified>
</cp:coreProperties>
</file>