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9E2" w:rsidRPr="007E09E2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3511">
        <w:rPr>
          <w:rFonts w:ascii="Times New Roman" w:hAnsi="Times New Roman" w:cs="Times New Roman"/>
          <w:b/>
          <w:sz w:val="24"/>
          <w:szCs w:val="24"/>
        </w:rPr>
        <w:t>3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09E2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Сравните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оригинал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перевод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Найдите в переводе эквиваленты, различные виды соответствий: полные, неполные (частичные, вариантные, контекстуальные). </w:t>
      </w:r>
    </w:p>
    <w:p w:rsidR="007E09E2" w:rsidRPr="007E09E2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Определите, эквивалентен ли перевод оригиналу? Почему, да? Почему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нет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? </w:t>
      </w:r>
      <w:r>
        <w:rPr>
          <w:rFonts w:ascii="Times New Roman" w:hAnsi="Times New Roman" w:cs="Times New Roman"/>
          <w:b/>
          <w:sz w:val="24"/>
          <w:szCs w:val="24"/>
        </w:rPr>
        <w:t>Докажите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сове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Воспользуйтесь подходящей к этому тексту концепцией эквивалентности.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Anthony Pym</w:t>
      </w:r>
    </w:p>
    <w:p w:rsidR="007E09E2" w:rsidRPr="00615021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b/>
          <w:sz w:val="24"/>
          <w:szCs w:val="24"/>
          <w:lang w:val="en-US"/>
        </w:rPr>
        <w:t>Origins of the descriptive paradigm</w:t>
      </w:r>
      <w:r w:rsidRPr="00243379">
        <w:rPr>
          <w:lang w:val="en-US"/>
        </w:rPr>
        <w:br/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The name “Descriptive Translation Studies ” (with the capitals) was never fully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consecrated as such until Gideon </w:t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Toury’s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book Descriptive Translation Studies and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beyond (1995; Spanish </w:t>
      </w:r>
      <w:bookmarkStart w:id="0" w:name="_GoBack"/>
      <w:bookmarkEnd w:id="0"/>
      <w:r w:rsidRPr="00243379">
        <w:rPr>
          <w:rFonts w:ascii="Times New Roman" w:hAnsi="Times New Roman" w:cs="Times New Roman"/>
          <w:sz w:val="24"/>
          <w:szCs w:val="24"/>
          <w:lang w:val="en-US"/>
        </w:rPr>
        <w:t>translation 2004). It has since become a flag of convenience for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 loose flotilla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innovative scholars. Around th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particular name there is now a rather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large body of thought and research.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 the su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rface, this would seem to be a general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paradigm in which scholars have set out to describe what translations actually are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rather than just prescri</w:t>
      </w:r>
      <w:r>
        <w:rPr>
          <w:rFonts w:ascii="Times New Roman" w:hAnsi="Times New Roman" w:cs="Times New Roman"/>
          <w:sz w:val="24"/>
          <w:szCs w:val="24"/>
          <w:lang w:val="en-US"/>
        </w:rPr>
        <w:t>be how they should be. Those 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rms, though, are simplifications.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If the aim were merely to describe, there would be little need for any grand theory. And yet what we find in this paradigm is a host of theoretical concepts: systems, shifts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norms, universals and laws, to name the most prominent, plus a long ongoing debate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about how to define the term “translation” itself. Despite the emphasis on description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this remains very much a paradigm for theoretical activity.</w:t>
      </w:r>
    </w:p>
    <w:p w:rsidR="007E09E2" w:rsidRPr="00243379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sz w:val="24"/>
          <w:szCs w:val="24"/>
          <w:lang w:val="en-US"/>
        </w:rPr>
        <w:t>In the historical context, the shift from prescription to description involved a clear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challenge to th</w:t>
      </w:r>
      <w:r>
        <w:rPr>
          <w:rFonts w:ascii="Times New Roman" w:hAnsi="Times New Roman" w:cs="Times New Roman"/>
          <w:sz w:val="24"/>
          <w:szCs w:val="24"/>
          <w:lang w:val="en-US"/>
        </w:rPr>
        <w:t>e institutionalization of the 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quivalence paradigm. Rather than just tell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 how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translate well (which is wh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and most equivalence-based linguistic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analyses set out to do, along with </w:t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Skopostheorie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and hopefully most training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institutions), descriptivist theories aim to identify how people actually do translate, no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matter what the supposed quality. The equivalence paradigm mostly came from scholars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who worked in l</w:t>
      </w:r>
      <w:r>
        <w:rPr>
          <w:rFonts w:ascii="Times New Roman" w:hAnsi="Times New Roman" w:cs="Times New Roman"/>
          <w:sz w:val="24"/>
          <w:szCs w:val="24"/>
          <w:lang w:val="en-US"/>
        </w:rPr>
        <w:t>inguistics or professional trai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ning; the descriptive paradigm was mostly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peopled la</w:t>
      </w:r>
      <w:r>
        <w:rPr>
          <w:rFonts w:ascii="Times New Roman" w:hAnsi="Times New Roman" w:cs="Times New Roman"/>
          <w:sz w:val="24"/>
          <w:szCs w:val="24"/>
          <w:lang w:val="en-US"/>
        </w:rPr>
        <w:t>rgely by researchers with a bac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kground in literary studies. This division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appeared in th</w:t>
      </w:r>
      <w:r>
        <w:rPr>
          <w:rFonts w:ascii="Times New Roman" w:hAnsi="Times New Roman" w:cs="Times New Roman"/>
          <w:sz w:val="24"/>
          <w:szCs w:val="24"/>
          <w:lang w:val="en-US"/>
        </w:rPr>
        <w:t>e 1970s and early 1980s, roughl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y in parallel with the development of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Skopostheorie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>. The intellectual genealogies of the descriptive paradigm might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nevertheless be traced back to at least the early twentieth century.</w:t>
      </w:r>
    </w:p>
    <w:p w:rsidR="007E09E2" w:rsidRDefault="007E09E2" w:rsidP="007E09E2">
      <w:pPr>
        <w:rPr>
          <w:i/>
          <w:iCs/>
          <w:sz w:val="24"/>
          <w:szCs w:val="24"/>
          <w:lang w:val="en-US"/>
        </w:rPr>
      </w:pPr>
    </w:p>
    <w:p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:rsidR="007E09E2" w:rsidRPr="006C1CDC" w:rsidRDefault="007E09E2" w:rsidP="007E09E2">
      <w:pPr>
        <w:rPr>
          <w:i/>
          <w:iCs/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Энтони</w:t>
      </w:r>
      <w:proofErr w:type="spellEnd"/>
      <w:r>
        <w:rPr>
          <w:i/>
          <w:iCs/>
          <w:sz w:val="24"/>
          <w:szCs w:val="24"/>
        </w:rPr>
        <w:t xml:space="preserve"> Рим</w:t>
      </w:r>
    </w:p>
    <w:p w:rsidR="007E09E2" w:rsidRPr="00DE2820" w:rsidRDefault="007E09E2" w:rsidP="007E09E2">
      <w:pPr>
        <w:rPr>
          <w:i/>
          <w:iCs/>
          <w:sz w:val="24"/>
          <w:szCs w:val="24"/>
        </w:rPr>
      </w:pPr>
      <w:r w:rsidRPr="0C8C4A0F">
        <w:rPr>
          <w:i/>
          <w:iCs/>
          <w:sz w:val="24"/>
          <w:szCs w:val="24"/>
        </w:rPr>
        <w:t xml:space="preserve">5.2 Происхождение описательной парадигмы 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 xml:space="preserve">Название “Исследования Описательного Перевода” (заглавными буквами) никогда не было полностью освящено как таковое до книги </w:t>
      </w:r>
      <w:proofErr w:type="spellStart"/>
      <w:r w:rsidRPr="006C1CDC">
        <w:rPr>
          <w:rFonts w:ascii="Times New Roman" w:hAnsi="Times New Roman" w:cs="Times New Roman"/>
          <w:sz w:val="24"/>
          <w:szCs w:val="24"/>
        </w:rPr>
        <w:t>Гидеона</w:t>
      </w:r>
      <w:proofErr w:type="spellEnd"/>
      <w:proofErr w:type="gramStart"/>
      <w:r w:rsidRPr="006C1CDC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6C1CDC">
        <w:rPr>
          <w:rFonts w:ascii="Times New Roman" w:hAnsi="Times New Roman" w:cs="Times New Roman"/>
          <w:sz w:val="24"/>
          <w:szCs w:val="24"/>
        </w:rPr>
        <w:t>ури «Исследования Описательного Перевода и за его пределами» (1995; Перевод на испанский 2004). С тех пор он стал удобным маяком для свободной флотилии ученых-новаторов. Вокруг этого конкретного имени в настоящее время существует довольно большой объем идей и исследований.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На поверхности, это, по-видимому, общая парадигма, в которой ученые намереваются описать, что такое переводы на самом деле, а не просто предписывать, какими они должны быть. Однако эти термины являются упрощениями. Если бы целью было простое описание, то не было бы необходимости в какой-либо грандиозной теории. И все же то, что мы находим в этой парадигме, — это множество теоретических концепций: системы, сдвиги, нормы, универсалии и законы, чтобы назвать наиболее выдающиеся. Плюс, непрекращающиеся дебаты о том, как определить сам термин «перевод». Несмотря на акцент на описании, это остается в значительной степени парадигмой для теоретической деятельности. В историческом контексте переход от предписания к описанию представлял собой явный вызов институционализации парадигмы эквивалентности.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Вместо того</w:t>
      </w:r>
      <w:proofErr w:type="gramStart"/>
      <w:r w:rsidRPr="006C1CD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C1CDC">
        <w:rPr>
          <w:rFonts w:ascii="Times New Roman" w:hAnsi="Times New Roman" w:cs="Times New Roman"/>
          <w:sz w:val="24"/>
          <w:szCs w:val="24"/>
        </w:rPr>
        <w:t xml:space="preserve"> чтобы просто рассказывать людям, как нужно переводить (на что и направлено большинство лингвистических анализов, основанных на эквивалентности, наряду с теорией </w:t>
      </w:r>
      <w:proofErr w:type="spellStart"/>
      <w:r w:rsidRPr="006C1CDC">
        <w:rPr>
          <w:rFonts w:ascii="Times New Roman" w:hAnsi="Times New Roman" w:cs="Times New Roman"/>
          <w:sz w:val="24"/>
          <w:szCs w:val="24"/>
        </w:rPr>
        <w:t>Скопоса</w:t>
      </w:r>
      <w:proofErr w:type="spellEnd"/>
      <w:r w:rsidRPr="006C1CDC">
        <w:rPr>
          <w:rFonts w:ascii="Times New Roman" w:hAnsi="Times New Roman" w:cs="Times New Roman"/>
          <w:sz w:val="24"/>
          <w:szCs w:val="24"/>
        </w:rPr>
        <w:t xml:space="preserve"> и, вероятно, большинством учебных заведений), описательные теории направлены на определение того, как люди переводят на самом деле, независимо от предполагаемого качества. Парадигма эквивалентности в основном выдвигалась учеными, которые работали в области лингвистики или профессиональной подготовки; описательной парадигмы в основном придерживались исследователи, которые имели опыт работы в области литературоведения.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 xml:space="preserve">Разделение появилось в 1970-х и начале 1980-х годов, примерно одновременно с развитием теории </w:t>
      </w:r>
      <w:proofErr w:type="spellStart"/>
      <w:r w:rsidRPr="006C1CDC">
        <w:rPr>
          <w:rFonts w:ascii="Times New Roman" w:hAnsi="Times New Roman" w:cs="Times New Roman"/>
          <w:sz w:val="24"/>
          <w:szCs w:val="24"/>
        </w:rPr>
        <w:t>Скопоса</w:t>
      </w:r>
      <w:proofErr w:type="spellEnd"/>
      <w:r w:rsidRPr="006C1CDC">
        <w:rPr>
          <w:rFonts w:ascii="Times New Roman" w:hAnsi="Times New Roman" w:cs="Times New Roman"/>
          <w:sz w:val="24"/>
          <w:szCs w:val="24"/>
        </w:rPr>
        <w:t>. Тем не менее, интеллектуальные истоки описательной парадигмы можно проследить и в начале двадцатого века.</w:t>
      </w:r>
    </w:p>
    <w:p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09E2" w:rsidRDefault="007E09E2" w:rsidP="007E09E2"/>
    <w:p w:rsidR="007E09E2" w:rsidRDefault="007E09E2" w:rsidP="007E09E2"/>
    <w:p w:rsidR="007E09E2" w:rsidRDefault="007E09E2" w:rsidP="007E09E2">
      <w:r w:rsidRPr="00DE2820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3511">
        <w:rPr>
          <w:rFonts w:ascii="Times New Roman" w:hAnsi="Times New Roman" w:cs="Times New Roman"/>
          <w:b/>
          <w:sz w:val="24"/>
          <w:szCs w:val="24"/>
        </w:rPr>
        <w:t>4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E2820">
        <w:rPr>
          <w:rFonts w:ascii="Times New Roman" w:hAnsi="Times New Roman" w:cs="Times New Roman"/>
          <w:b/>
          <w:sz w:val="24"/>
          <w:szCs w:val="24"/>
        </w:rPr>
        <w:t>Сравните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оригинал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и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перевод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рекламного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текста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E2820">
        <w:rPr>
          <w:rFonts w:ascii="Times New Roman" w:hAnsi="Times New Roman" w:cs="Times New Roman"/>
          <w:b/>
          <w:sz w:val="24"/>
          <w:szCs w:val="24"/>
        </w:rPr>
        <w:t>Оригинальный текст можно найти здесь:</w:t>
      </w:r>
      <w:r>
        <w:t xml:space="preserve"> </w:t>
      </w:r>
      <w:hyperlink r:id="rId4" w:history="1">
        <w:r w:rsidRPr="00D708F5">
          <w:rPr>
            <w:rStyle w:val="a4"/>
          </w:rPr>
          <w:t>https://www.nytimes.com/2017/03/27/fashion/mens-style/bulgari-sets-a-watch-record-for-thinnest-self-winding-watch.html</w:t>
        </w:r>
      </w:hyperlink>
    </w:p>
    <w:p w:rsidR="007E09E2" w:rsidRDefault="007E09E2" w:rsidP="007E09E2">
      <w:pPr>
        <w:rPr>
          <w:rFonts w:ascii="Times New Roman" w:hAnsi="Times New Roman" w:cs="Times New Roman"/>
          <w:b/>
          <w:sz w:val="24"/>
          <w:szCs w:val="24"/>
        </w:rPr>
      </w:pPr>
      <w:r w:rsidRPr="007E09E2">
        <w:rPr>
          <w:rFonts w:ascii="Times New Roman" w:hAnsi="Times New Roman" w:cs="Times New Roman"/>
          <w:b/>
          <w:sz w:val="24"/>
          <w:szCs w:val="24"/>
        </w:rPr>
        <w:t>Найдите эквиваленты и  соответствия. Объясните перевод отмеченных цифрами частей текста.</w:t>
      </w:r>
      <w:r w:rsidR="005E3ADC">
        <w:rPr>
          <w:rFonts w:ascii="Times New Roman" w:hAnsi="Times New Roman" w:cs="Times New Roman"/>
          <w:b/>
          <w:sz w:val="24"/>
          <w:szCs w:val="24"/>
        </w:rPr>
        <w:t xml:space="preserve"> Подумайте над эквивалентностью перевода оригиналу. Какой эквивалентности добивается переводчик?</w:t>
      </w:r>
    </w:p>
    <w:p w:rsidR="007E09E2" w:rsidRPr="007E09E2" w:rsidRDefault="007E09E2" w:rsidP="007E09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Фрагмент 1</w:t>
      </w:r>
    </w:p>
    <w:tbl>
      <w:tblPr>
        <w:tblStyle w:val="a3"/>
        <w:tblW w:w="0" w:type="auto"/>
        <w:tblLook w:val="04A0"/>
      </w:tblPr>
      <w:tblGrid>
        <w:gridCol w:w="4542"/>
        <w:gridCol w:w="5029"/>
      </w:tblGrid>
      <w:tr w:rsidR="007E09E2" w:rsidRPr="005907A8" w:rsidTr="00DF1739">
        <w:tc>
          <w:tcPr>
            <w:tcW w:w="4542" w:type="dxa"/>
          </w:tcPr>
          <w:p w:rsidR="007E09E2" w:rsidRPr="00632403" w:rsidRDefault="007E09E2" w:rsidP="00DF1739">
            <w:pPr>
              <w:spacing w:line="360" w:lineRule="auto"/>
              <w:ind w:firstLine="0"/>
              <w:jc w:val="both"/>
              <w:rPr>
                <w:lang w:val="en-US"/>
              </w:rPr>
            </w:pPr>
            <w:r w:rsidRPr="00632403">
              <w:rPr>
                <w:lang w:val="en-US"/>
              </w:rPr>
              <w:t>BASEL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Switzerland</w:t>
            </w:r>
            <w:r w:rsidRPr="00FF3511">
              <w:rPr>
                <w:lang w:val="en-US"/>
              </w:rPr>
              <w:t xml:space="preserve"> — </w:t>
            </w:r>
            <w:r w:rsidRPr="0061550A">
              <w:rPr>
                <w:lang w:val="en-US"/>
              </w:rPr>
              <w:t>You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can</w:t>
            </w:r>
            <w:r w:rsidRPr="00FF3511">
              <w:rPr>
                <w:lang w:val="en-US"/>
              </w:rPr>
              <w:t>’</w:t>
            </w:r>
            <w:r w:rsidRPr="0061550A">
              <w:rPr>
                <w:lang w:val="en-US"/>
              </w:rPr>
              <w:t>t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be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too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rich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or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too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thin</w:t>
            </w:r>
            <w:r w:rsidRPr="00FF3511">
              <w:rPr>
                <w:vertAlign w:val="superscript"/>
                <w:lang w:val="en-US"/>
              </w:rPr>
              <w:t>1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and</w:t>
            </w:r>
            <w:r w:rsidRPr="00FF3511">
              <w:rPr>
                <w:lang w:val="en-US"/>
              </w:rPr>
              <w:t xml:space="preserve"> </w:t>
            </w:r>
            <w:proofErr w:type="spellStart"/>
            <w:r w:rsidRPr="00632403">
              <w:rPr>
                <w:lang w:val="en-US"/>
              </w:rPr>
              <w:t>Bulgari</w:t>
            </w:r>
            <w:proofErr w:type="spellEnd"/>
            <w:r w:rsidRPr="00FF3511">
              <w:rPr>
                <w:lang w:val="en-US"/>
              </w:rPr>
              <w:t xml:space="preserve"> </w:t>
            </w:r>
            <w:r w:rsidRPr="00632403">
              <w:rPr>
                <w:lang w:val="en-US"/>
              </w:rPr>
              <w:t>clearly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has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the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rich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part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down</w:t>
            </w:r>
            <w:r w:rsidRPr="00FF3511">
              <w:rPr>
                <w:vertAlign w:val="superscript"/>
                <w:lang w:val="en-US"/>
              </w:rPr>
              <w:t>2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as</w:t>
            </w:r>
            <w:r w:rsidRPr="00FF3511">
              <w:rPr>
                <w:lang w:val="en-US"/>
              </w:rPr>
              <w:t xml:space="preserve"> </w:t>
            </w:r>
            <w:r w:rsidRPr="0009273C">
              <w:rPr>
                <w:u w:val="single"/>
                <w:lang w:val="en-US"/>
              </w:rPr>
              <w:t>evidenced</w:t>
            </w:r>
            <w:r w:rsidRPr="00FF3511">
              <w:rPr>
                <w:u w:val="single"/>
                <w:lang w:val="en-US"/>
              </w:rPr>
              <w:t xml:space="preserve"> </w:t>
            </w:r>
            <w:r w:rsidRPr="0009273C">
              <w:rPr>
                <w:u w:val="single"/>
                <w:lang w:val="en-US"/>
              </w:rPr>
              <w:t>by glimmering signature pieces like its</w:t>
            </w:r>
            <w:r w:rsidRPr="00B57A12">
              <w:rPr>
                <w:u w:val="single"/>
                <w:vertAlign w:val="superscript"/>
                <w:lang w:val="en-US"/>
              </w:rPr>
              <w:t>3</w:t>
            </w:r>
            <w:r w:rsidRPr="00632403">
              <w:rPr>
                <w:lang w:val="en-US"/>
              </w:rPr>
              <w:t xml:space="preserve"> </w:t>
            </w:r>
            <w:proofErr w:type="spellStart"/>
            <w:r w:rsidRPr="00632403">
              <w:rPr>
                <w:lang w:val="en-US"/>
              </w:rPr>
              <w:t>Serpenti</w:t>
            </w:r>
            <w:proofErr w:type="spellEnd"/>
            <w:r w:rsidRPr="00632403">
              <w:rPr>
                <w:lang w:val="en-US"/>
              </w:rPr>
              <w:t xml:space="preserve"> Secret high jewelry watch for women, a diamond-encrusted snake in </w:t>
            </w:r>
            <w:r w:rsidRPr="00A62C47">
              <w:rPr>
                <w:lang w:val="en-US"/>
              </w:rPr>
              <w:t>18-karat</w:t>
            </w:r>
            <w:r>
              <w:rPr>
                <w:vertAlign w:val="superscript"/>
                <w:lang w:val="en-US"/>
              </w:rPr>
              <w:t>4</w:t>
            </w:r>
            <w:r w:rsidRPr="00632403">
              <w:rPr>
                <w:lang w:val="en-US"/>
              </w:rPr>
              <w:t xml:space="preserve"> white gold that </w:t>
            </w:r>
            <w:r w:rsidRPr="00A62C47">
              <w:rPr>
                <w:lang w:val="en-US"/>
              </w:rPr>
              <w:t>sinfully</w:t>
            </w:r>
            <w:r>
              <w:rPr>
                <w:vertAlign w:val="superscript"/>
                <w:lang w:val="en-US"/>
              </w:rPr>
              <w:t>5</w:t>
            </w:r>
            <w:r w:rsidRPr="00632403">
              <w:rPr>
                <w:lang w:val="en-US"/>
              </w:rPr>
              <w:t xml:space="preserve"> envelops the wrist like the serpent in the Garden of Eden (priced only upon request</w:t>
            </w:r>
            <w:r>
              <w:rPr>
                <w:vertAlign w:val="superscript"/>
                <w:lang w:val="en-US"/>
              </w:rPr>
              <w:t>6</w:t>
            </w:r>
            <w:r w:rsidRPr="00632403">
              <w:rPr>
                <w:lang w:val="en-US"/>
              </w:rPr>
              <w:t>).</w:t>
            </w:r>
          </w:p>
          <w:p w:rsidR="007E09E2" w:rsidRPr="00632403" w:rsidRDefault="007E09E2" w:rsidP="00DF1739">
            <w:p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5029" w:type="dxa"/>
          </w:tcPr>
          <w:p w:rsidR="007E09E2" w:rsidRDefault="007E09E2" w:rsidP="00DF1739">
            <w:pPr>
              <w:spacing w:line="360" w:lineRule="auto"/>
              <w:ind w:firstLine="0"/>
              <w:jc w:val="both"/>
            </w:pPr>
            <w:r w:rsidRPr="0061550A">
              <w:t>«Нельзя быть слишком богатым или слишком стройным»</w:t>
            </w:r>
            <w:r>
              <w:rPr>
                <w:vertAlign w:val="superscript"/>
              </w:rPr>
              <w:t>1</w:t>
            </w:r>
            <w:r w:rsidRPr="0061550A">
              <w:t>,</w:t>
            </w:r>
            <w:r w:rsidRPr="00FB3E8A">
              <w:t xml:space="preserve"> однако </w:t>
            </w:r>
            <w:proofErr w:type="spellStart"/>
            <w:r w:rsidRPr="00FB3E8A">
              <w:rPr>
                <w:lang w:val="en-US"/>
              </w:rPr>
              <w:t>Bulgari</w:t>
            </w:r>
            <w:proofErr w:type="spellEnd"/>
            <w:r w:rsidRPr="00FB3E8A">
              <w:t xml:space="preserve"> </w:t>
            </w:r>
            <w:r w:rsidRPr="00A62C47">
              <w:t>достигли небывалого мастерства в том, как обращаться с богатствами и богатыми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 w:rsidRPr="00A62C47">
              <w:t>.</w:t>
            </w:r>
            <w:r w:rsidRPr="00FB3E8A">
              <w:t xml:space="preserve"> </w:t>
            </w:r>
            <w:r w:rsidRPr="0009273C">
              <w:rPr>
                <w:u w:val="single"/>
              </w:rPr>
              <w:t>Яркий тому пример</w:t>
            </w:r>
            <w:r>
              <w:rPr>
                <w:u w:val="single"/>
                <w:vertAlign w:val="superscript"/>
              </w:rPr>
              <w:t>3</w:t>
            </w:r>
            <w:r w:rsidRPr="00FB3E8A">
              <w:t xml:space="preserve"> — </w:t>
            </w:r>
            <w:r w:rsidRPr="001C2C6D">
              <w:rPr>
                <w:u w:val="single"/>
              </w:rPr>
              <w:t>фирменные</w:t>
            </w:r>
            <w:r>
              <w:t xml:space="preserve"> </w:t>
            </w:r>
            <w:r w:rsidRPr="00FB3E8A">
              <w:t>часы «</w:t>
            </w:r>
            <w:proofErr w:type="spellStart"/>
            <w:r w:rsidRPr="00FB3E8A">
              <w:rPr>
                <w:lang w:val="en-US"/>
              </w:rPr>
              <w:t>Serpenti</w:t>
            </w:r>
            <w:proofErr w:type="spellEnd"/>
            <w:r w:rsidRPr="00FB3E8A">
              <w:t xml:space="preserve"> </w:t>
            </w:r>
            <w:r w:rsidRPr="00FB3E8A">
              <w:rPr>
                <w:lang w:val="en-US"/>
              </w:rPr>
              <w:t>Secret</w:t>
            </w:r>
            <w:r w:rsidRPr="00FB3E8A">
              <w:t>» с браслетом из белого золота</w:t>
            </w:r>
            <w:r>
              <w:t> </w:t>
            </w:r>
            <w:r w:rsidRPr="00A62C47">
              <w:t>750</w:t>
            </w:r>
            <w:r w:rsidRPr="00A62C47">
              <w:noBreakHyphen/>
              <w:t>ой пробы</w:t>
            </w:r>
            <w:proofErr w:type="gramStart"/>
            <w:r>
              <w:rPr>
                <w:vertAlign w:val="superscript"/>
              </w:rPr>
              <w:t>4</w:t>
            </w:r>
            <w:proofErr w:type="gramEnd"/>
            <w:r>
              <w:t>,    инкрустирован-</w:t>
            </w:r>
          </w:p>
          <w:p w:rsidR="007E09E2" w:rsidRPr="005907A8" w:rsidRDefault="007E09E2" w:rsidP="00DF1739">
            <w:pPr>
              <w:spacing w:line="360" w:lineRule="auto"/>
              <w:ind w:firstLine="0"/>
              <w:jc w:val="both"/>
            </w:pPr>
            <w:proofErr w:type="spellStart"/>
            <w:r>
              <w:t>ны</w:t>
            </w:r>
            <w:r w:rsidRPr="00FB3E8A">
              <w:t>м</w:t>
            </w:r>
            <w:proofErr w:type="spellEnd"/>
            <w:r w:rsidRPr="00FB3E8A">
              <w:t xml:space="preserve"> бриллиантами,</w:t>
            </w:r>
            <w:r>
              <w:rPr>
                <w:vertAlign w:val="superscript"/>
              </w:rPr>
              <w:t>5</w:t>
            </w:r>
            <w:r w:rsidRPr="00FB3E8A">
              <w:t xml:space="preserve"> — подлинный ювелирный шедевр, </w:t>
            </w:r>
            <w:r w:rsidRPr="00A62C47">
              <w:t>соблазнительно</w:t>
            </w:r>
            <w:proofErr w:type="gramStart"/>
            <w:r>
              <w:rPr>
                <w:vertAlign w:val="superscript"/>
              </w:rPr>
              <w:t>6</w:t>
            </w:r>
            <w:proofErr w:type="gramEnd"/>
            <w:r w:rsidRPr="00FB3E8A">
              <w:t xml:space="preserve"> обвивающий запястье</w:t>
            </w:r>
            <w:r>
              <w:t>,</w:t>
            </w:r>
            <w:r w:rsidRPr="00FB3E8A">
              <w:t xml:space="preserve"> подобно змею в Эдемском саду (стоимость оговаривается по запросу</w:t>
            </w:r>
            <w:r>
              <w:rPr>
                <w:vertAlign w:val="superscript"/>
              </w:rPr>
              <w:t>7</w:t>
            </w:r>
            <w:r w:rsidRPr="00FB3E8A">
              <w:t>).</w:t>
            </w:r>
          </w:p>
        </w:tc>
      </w:tr>
    </w:tbl>
    <w:p w:rsidR="007E09E2" w:rsidRDefault="007E09E2" w:rsidP="007E09E2">
      <w:pPr>
        <w:spacing w:line="360" w:lineRule="auto"/>
        <w:ind w:firstLine="709"/>
        <w:contextualSpacing/>
        <w:jc w:val="both"/>
      </w:pPr>
    </w:p>
    <w:p w:rsidR="007E09E2" w:rsidRPr="007E09E2" w:rsidRDefault="007E09E2" w:rsidP="007E09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9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Фрагмент 2</w:t>
      </w:r>
    </w:p>
    <w:tbl>
      <w:tblPr>
        <w:tblStyle w:val="a3"/>
        <w:tblW w:w="0" w:type="auto"/>
        <w:tblLook w:val="04A0"/>
      </w:tblPr>
      <w:tblGrid>
        <w:gridCol w:w="4781"/>
        <w:gridCol w:w="4790"/>
      </w:tblGrid>
      <w:tr w:rsidR="007E09E2" w:rsidRPr="009C59AE" w:rsidTr="00DF1739">
        <w:tc>
          <w:tcPr>
            <w:tcW w:w="4781" w:type="dxa"/>
          </w:tcPr>
          <w:p w:rsidR="007E09E2" w:rsidRPr="00F1080A" w:rsidRDefault="007E09E2" w:rsidP="00DF1739">
            <w:pPr>
              <w:spacing w:line="360" w:lineRule="auto"/>
              <w:ind w:firstLine="0"/>
              <w:jc w:val="both"/>
              <w:rPr>
                <w:lang w:val="en-US"/>
              </w:rPr>
            </w:pPr>
            <w:r w:rsidRPr="00EB2821">
              <w:rPr>
                <w:lang w:val="en-US"/>
              </w:rPr>
              <w:t>And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now</w:t>
            </w:r>
            <w:r w:rsidRPr="00F1080A">
              <w:rPr>
                <w:lang w:val="en-US"/>
              </w:rPr>
              <w:t xml:space="preserve">, </w:t>
            </w:r>
            <w:r w:rsidRPr="00EB2821">
              <w:rPr>
                <w:lang w:val="en-US"/>
              </w:rPr>
              <w:t>with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its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men</w:t>
            </w:r>
            <w:r w:rsidRPr="00F1080A">
              <w:rPr>
                <w:lang w:val="en-US"/>
              </w:rPr>
              <w:t>’</w:t>
            </w:r>
            <w:r w:rsidRPr="00EB2821">
              <w:rPr>
                <w:lang w:val="en-US"/>
              </w:rPr>
              <w:t>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watch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line</w:t>
            </w:r>
            <w:r>
              <w:rPr>
                <w:vertAlign w:val="superscript"/>
                <w:lang w:val="en-US"/>
              </w:rPr>
              <w:t>1</w:t>
            </w:r>
            <w:r w:rsidRPr="00F1080A">
              <w:rPr>
                <w:lang w:val="en-US"/>
              </w:rPr>
              <w:t xml:space="preserve">, </w:t>
            </w:r>
            <w:r w:rsidRPr="00EB2821">
              <w:rPr>
                <w:lang w:val="en-US"/>
              </w:rPr>
              <w:t>the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venerable</w:t>
            </w:r>
            <w:r>
              <w:rPr>
                <w:vertAlign w:val="superscript"/>
                <w:lang w:val="en-US"/>
              </w:rPr>
              <w:t>2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Roman</w:t>
            </w:r>
            <w:r w:rsidRPr="00F1080A">
              <w:rPr>
                <w:lang w:val="en-US"/>
              </w:rPr>
              <w:t xml:space="preserve"> </w:t>
            </w:r>
            <w:proofErr w:type="spellStart"/>
            <w:r w:rsidRPr="00EB2821">
              <w:rPr>
                <w:lang w:val="en-US"/>
              </w:rPr>
              <w:t>maison</w:t>
            </w:r>
            <w:proofErr w:type="spellEnd"/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making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impressive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strides</w:t>
            </w:r>
            <w:r>
              <w:rPr>
                <w:vertAlign w:val="superscript"/>
                <w:lang w:val="en-US"/>
              </w:rPr>
              <w:t>3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on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the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thin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front</w:t>
            </w:r>
            <w:r>
              <w:rPr>
                <w:vertAlign w:val="superscript"/>
                <w:lang w:val="en-US"/>
              </w:rPr>
              <w:t>4</w:t>
            </w:r>
            <w:r w:rsidRPr="00F1080A">
              <w:rPr>
                <w:lang w:val="en-US"/>
              </w:rPr>
              <w:t>.</w:t>
            </w:r>
          </w:p>
          <w:p w:rsidR="007E09E2" w:rsidRPr="00B76B22" w:rsidRDefault="007E09E2" w:rsidP="00DF1739">
            <w:pPr>
              <w:spacing w:line="360" w:lineRule="auto"/>
              <w:ind w:firstLine="0"/>
              <w:contextualSpacing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4790" w:type="dxa"/>
          </w:tcPr>
          <w:p w:rsidR="007E09E2" w:rsidRPr="009C59AE" w:rsidRDefault="007E09E2" w:rsidP="00DF1739">
            <w:pPr>
              <w:spacing w:line="360" w:lineRule="auto"/>
              <w:ind w:firstLine="0"/>
              <w:jc w:val="both"/>
            </w:pPr>
            <w:r>
              <w:t xml:space="preserve">И теперь, с выпуском новой </w:t>
            </w:r>
            <w:r w:rsidRPr="009C59AE">
              <w:t>премиальной</w:t>
            </w:r>
            <w:r>
              <w:t xml:space="preserve"> коллекции мужских часов</w:t>
            </w:r>
            <w:proofErr w:type="gramStart"/>
            <w:r w:rsidRPr="00C20062">
              <w:rPr>
                <w:vertAlign w:val="superscript"/>
              </w:rPr>
              <w:t>1</w:t>
            </w:r>
            <w:proofErr w:type="gramEnd"/>
            <w:r>
              <w:t>, знаменитый</w:t>
            </w:r>
            <w:r w:rsidRPr="00C20062">
              <w:rPr>
                <w:vertAlign w:val="superscript"/>
              </w:rPr>
              <w:t>2</w:t>
            </w:r>
            <w:r>
              <w:t xml:space="preserve"> итальянский дом добивается небывалых успехов</w:t>
            </w:r>
            <w:r w:rsidRPr="00BA02EB">
              <w:rPr>
                <w:vertAlign w:val="superscript"/>
              </w:rPr>
              <w:t>3</w:t>
            </w:r>
            <w:r>
              <w:t xml:space="preserve"> и в «утонченности»</w:t>
            </w:r>
            <w:r w:rsidRPr="00BA02EB">
              <w:rPr>
                <w:vertAlign w:val="superscript"/>
              </w:rPr>
              <w:t>4</w:t>
            </w:r>
            <w:r>
              <w:t>.</w:t>
            </w:r>
          </w:p>
        </w:tc>
      </w:tr>
    </w:tbl>
    <w:p w:rsidR="007E09E2" w:rsidRPr="00D65921" w:rsidRDefault="007E09E2" w:rsidP="007E09E2">
      <w:pPr>
        <w:spacing w:line="360" w:lineRule="auto"/>
        <w:ind w:firstLine="709"/>
        <w:contextualSpacing/>
        <w:jc w:val="both"/>
        <w:rPr>
          <w:i/>
          <w:color w:val="000000" w:themeColor="text1"/>
        </w:rPr>
      </w:pPr>
      <w:r w:rsidRPr="00A7760D">
        <w:rPr>
          <w:color w:val="000000" w:themeColor="text1"/>
        </w:rPr>
        <w:t xml:space="preserve"> </w:t>
      </w:r>
    </w:p>
    <w:p w:rsidR="007E09E2" w:rsidRPr="007E09E2" w:rsidRDefault="007E09E2" w:rsidP="007E09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9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Фрагмент 3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E09E2" w:rsidRPr="008210DC" w:rsidTr="00DF1739">
        <w:tc>
          <w:tcPr>
            <w:tcW w:w="4785" w:type="dxa"/>
          </w:tcPr>
          <w:p w:rsidR="007E09E2" w:rsidRPr="008210DC" w:rsidRDefault="007E09E2" w:rsidP="00DF1739">
            <w:pPr>
              <w:spacing w:line="360" w:lineRule="auto"/>
              <w:contextualSpacing/>
              <w:jc w:val="both"/>
              <w:rPr>
                <w:i/>
                <w:color w:val="000000" w:themeColor="text1"/>
                <w:lang w:val="en-US"/>
              </w:rPr>
            </w:pPr>
            <w:r w:rsidRPr="00A52F9D">
              <w:rPr>
                <w:i/>
                <w:color w:val="000000" w:themeColor="text1"/>
                <w:u w:val="single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brand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>’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s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latest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work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of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wrist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sculpture</w:t>
            </w:r>
            <w:r w:rsidRPr="008210DC">
              <w:rPr>
                <w:i/>
                <w:color w:val="000000" w:themeColor="text1"/>
                <w:lang w:val="en-US"/>
              </w:rPr>
              <w:t xml:space="preserve">, </w:t>
            </w:r>
            <w:r w:rsidRPr="00120C43">
              <w:rPr>
                <w:i/>
                <w:color w:val="000000" w:themeColor="text1"/>
                <w:lang w:val="en-US"/>
              </w:rPr>
              <w:t>which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sets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a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record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for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lastRenderedPageBreak/>
              <w:t>thinnest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self</w:t>
            </w:r>
            <w:r w:rsidRPr="008210DC">
              <w:rPr>
                <w:i/>
                <w:color w:val="000000" w:themeColor="text1"/>
                <w:lang w:val="en-US"/>
              </w:rPr>
              <w:t>-</w:t>
            </w:r>
            <w:r w:rsidRPr="00120C43">
              <w:rPr>
                <w:i/>
                <w:color w:val="000000" w:themeColor="text1"/>
                <w:lang w:val="en-US"/>
              </w:rPr>
              <w:t>winding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mechanical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watch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on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market</w:t>
            </w:r>
          </w:p>
        </w:tc>
        <w:tc>
          <w:tcPr>
            <w:tcW w:w="4786" w:type="dxa"/>
          </w:tcPr>
          <w:p w:rsidR="007E09E2" w:rsidRPr="008210DC" w:rsidRDefault="007E09E2" w:rsidP="00DF1739">
            <w:pPr>
              <w:spacing w:line="360" w:lineRule="auto"/>
              <w:contextualSpacing/>
              <w:jc w:val="both"/>
              <w:rPr>
                <w:i/>
                <w:color w:val="000000" w:themeColor="text1"/>
              </w:rPr>
            </w:pPr>
            <w:r w:rsidRPr="004F7E2C">
              <w:rPr>
                <w:i/>
              </w:rPr>
              <w:lastRenderedPageBreak/>
              <w:t xml:space="preserve">самые тонкие часы с </w:t>
            </w:r>
            <w:proofErr w:type="gramStart"/>
            <w:r w:rsidRPr="004F7E2C">
              <w:rPr>
                <w:i/>
              </w:rPr>
              <w:t>автоматическим</w:t>
            </w:r>
            <w:proofErr w:type="gramEnd"/>
            <w:r w:rsidRPr="004F7E2C">
              <w:rPr>
                <w:i/>
              </w:rPr>
              <w:t xml:space="preserve"> </w:t>
            </w:r>
            <w:proofErr w:type="spellStart"/>
            <w:r w:rsidRPr="004F7E2C">
              <w:rPr>
                <w:i/>
              </w:rPr>
              <w:t>подзаводом</w:t>
            </w:r>
            <w:proofErr w:type="spellEnd"/>
            <w:r w:rsidRPr="004F7E2C">
              <w:rPr>
                <w:i/>
              </w:rPr>
              <w:t xml:space="preserve"> на </w:t>
            </w:r>
            <w:r w:rsidRPr="004F7E2C">
              <w:rPr>
                <w:i/>
              </w:rPr>
              <w:lastRenderedPageBreak/>
              <w:t xml:space="preserve">рынке и </w:t>
            </w:r>
            <w:r w:rsidRPr="00A52F9D">
              <w:rPr>
                <w:i/>
                <w:u w:val="single"/>
              </w:rPr>
              <w:t>настоящее достижение в мире технического и эстетического авангарда</w:t>
            </w:r>
            <w:r>
              <w:rPr>
                <w:i/>
              </w:rPr>
              <w:t>.</w:t>
            </w:r>
          </w:p>
        </w:tc>
      </w:tr>
    </w:tbl>
    <w:p w:rsidR="007E09E2" w:rsidRPr="008210DC" w:rsidRDefault="007E09E2" w:rsidP="007E09E2">
      <w:pPr>
        <w:spacing w:line="360" w:lineRule="auto"/>
        <w:ind w:firstLine="709"/>
        <w:contextualSpacing/>
        <w:jc w:val="both"/>
        <w:rPr>
          <w:i/>
          <w:color w:val="000000" w:themeColor="text1"/>
        </w:rPr>
      </w:pPr>
    </w:p>
    <w:p w:rsidR="007E09E2" w:rsidRPr="006C1CDC" w:rsidRDefault="007E09E2" w:rsidP="007E09E2"/>
    <w:p w:rsidR="00B52722" w:rsidRDefault="00B52722"/>
    <w:sectPr w:rsidR="00B52722" w:rsidSect="00FC0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9E2"/>
    <w:rsid w:val="005E3ADC"/>
    <w:rsid w:val="007E09E2"/>
    <w:rsid w:val="00B52722"/>
    <w:rsid w:val="00FC0460"/>
    <w:rsid w:val="00FF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9E2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09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ytimes.com/2017/03/27/fashion/mens-style/bulgari-sets-a-watch-record-for-thinnest-self-winding-wat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929</Words>
  <Characters>5299</Characters>
  <Application>Microsoft Office Word</Application>
  <DocSecurity>0</DocSecurity>
  <Lines>44</Lines>
  <Paragraphs>12</Paragraphs>
  <ScaleCrop>false</ScaleCrop>
  <Company>DG Win&amp;Soft</Company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4</cp:revision>
  <dcterms:created xsi:type="dcterms:W3CDTF">2023-04-09T08:28:00Z</dcterms:created>
  <dcterms:modified xsi:type="dcterms:W3CDTF">2023-04-09T09:01:00Z</dcterms:modified>
</cp:coreProperties>
</file>