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42B31" w14:textId="06C240C5" w:rsidR="00E24C2A" w:rsidRPr="00E24C2A" w:rsidRDefault="00E24C2A" w:rsidP="00E24C2A">
      <w:pPr>
        <w:tabs>
          <w:tab w:val="left" w:pos="360"/>
        </w:tabs>
        <w:spacing w:line="360" w:lineRule="auto"/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E24C2A">
        <w:rPr>
          <w:b/>
          <w:sz w:val="28"/>
          <w:szCs w:val="28"/>
          <w:lang w:val="ru-RU"/>
        </w:rPr>
        <w:t>Антрацен: строение и основные химические свойства.</w:t>
      </w:r>
    </w:p>
    <w:p w14:paraId="1939E087" w14:textId="77777777" w:rsidR="00E24C2A" w:rsidRPr="00C803AB" w:rsidRDefault="00E24C2A" w:rsidP="00E24C2A">
      <w:pPr>
        <w:ind w:firstLine="708"/>
        <w:jc w:val="both"/>
        <w:rPr>
          <w:lang w:val="ru-RU"/>
        </w:rPr>
      </w:pPr>
      <w:r w:rsidRPr="00C803AB">
        <w:rPr>
          <w:b/>
          <w:i/>
          <w:lang w:val="ru-RU"/>
        </w:rPr>
        <w:t>Антрацен</w:t>
      </w:r>
      <w:r w:rsidRPr="00C803AB">
        <w:rPr>
          <w:b/>
          <w:lang w:val="ru-RU"/>
        </w:rPr>
        <w:t xml:space="preserve"> – </w:t>
      </w:r>
      <w:r w:rsidRPr="00C803AB">
        <w:rPr>
          <w:lang w:val="ru-RU"/>
        </w:rPr>
        <w:t>соединение, молекула которого состоит из 3-х ароматических колец, лежащих в одной плоскости. Его получают из антраценовой фракции каменноугольной смолы, кипящей при 300-350</w:t>
      </w:r>
      <w:r w:rsidRPr="00C803AB">
        <w:rPr>
          <w:vertAlign w:val="superscript"/>
          <w:lang w:val="ru-RU"/>
        </w:rPr>
        <w:t>о</w:t>
      </w:r>
      <w:r w:rsidRPr="00C803AB">
        <w:rPr>
          <w:lang w:val="ru-RU"/>
        </w:rPr>
        <w:t xml:space="preserve">С. В лабораторной практике антрацен можно получить </w:t>
      </w:r>
    </w:p>
    <w:p w14:paraId="5C6759E8" w14:textId="77777777" w:rsidR="00E24C2A" w:rsidRPr="00C803AB" w:rsidRDefault="00E24C2A" w:rsidP="00E24C2A">
      <w:pPr>
        <w:jc w:val="both"/>
        <w:rPr>
          <w:lang w:val="ru-RU"/>
        </w:rPr>
      </w:pPr>
      <w:r w:rsidRPr="00C803AB">
        <w:rPr>
          <w:lang w:val="ru-RU"/>
        </w:rPr>
        <w:t>а) по реакции Фриделя-Крафтса:</w:t>
      </w:r>
    </w:p>
    <w:p w14:paraId="03F10256" w14:textId="77777777" w:rsidR="00E24C2A" w:rsidRPr="00C803AB" w:rsidRDefault="00E24C2A" w:rsidP="00E24C2A">
      <w:pPr>
        <w:jc w:val="center"/>
      </w:pPr>
      <w:r w:rsidRPr="00C803AB">
        <w:object w:dxaOrig="5490" w:dyaOrig="913" w14:anchorId="3F70D6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55pt;height:42.45pt" o:ole="">
            <v:imagedata r:id="rId4" o:title=""/>
          </v:shape>
          <o:OLEObject Type="Embed" ProgID="ChemDraw.Document.6.0" ShapeID="_x0000_i1025" DrawAspect="Content" ObjectID="_1671880946" r:id="rId5"/>
        </w:object>
      </w:r>
    </w:p>
    <w:p w14:paraId="4FF343AE" w14:textId="77777777" w:rsidR="00E24C2A" w:rsidRPr="00C803AB" w:rsidRDefault="00E24C2A" w:rsidP="00E24C2A">
      <w:pPr>
        <w:jc w:val="both"/>
      </w:pPr>
      <w:r w:rsidRPr="00C803AB">
        <w:t xml:space="preserve">б) </w:t>
      </w:r>
      <w:proofErr w:type="spellStart"/>
      <w:r w:rsidRPr="00C803AB">
        <w:t>по</w:t>
      </w:r>
      <w:proofErr w:type="spellEnd"/>
      <w:r w:rsidRPr="00C803AB">
        <w:t xml:space="preserve"> </w:t>
      </w:r>
      <w:proofErr w:type="spellStart"/>
      <w:r w:rsidRPr="00C803AB">
        <w:t>реакции</w:t>
      </w:r>
      <w:proofErr w:type="spellEnd"/>
      <w:r w:rsidRPr="00C803AB">
        <w:t xml:space="preserve"> </w:t>
      </w:r>
      <w:proofErr w:type="spellStart"/>
      <w:r w:rsidRPr="00C803AB">
        <w:t>Фиттига</w:t>
      </w:r>
      <w:proofErr w:type="spellEnd"/>
      <w:r w:rsidRPr="00C803AB">
        <w:t>:</w:t>
      </w:r>
    </w:p>
    <w:p w14:paraId="42784B05" w14:textId="77777777" w:rsidR="00E24C2A" w:rsidRPr="00C803AB" w:rsidRDefault="00E24C2A" w:rsidP="00E24C2A">
      <w:pPr>
        <w:jc w:val="center"/>
      </w:pPr>
      <w:r w:rsidRPr="00C803AB">
        <w:object w:dxaOrig="4971" w:dyaOrig="949" w14:anchorId="66D4EA23">
          <v:shape id="_x0000_i1026" type="#_x0000_t75" style="width:241.7pt;height:45.85pt" o:ole="">
            <v:imagedata r:id="rId6" o:title=""/>
          </v:shape>
          <o:OLEObject Type="Embed" ProgID="ChemDraw.Document.6.0" ShapeID="_x0000_i1026" DrawAspect="Content" ObjectID="_1671880947" r:id="rId7"/>
        </w:object>
      </w:r>
    </w:p>
    <w:p w14:paraId="1BE2CC5F" w14:textId="77777777" w:rsidR="00E24C2A" w:rsidRPr="00C803AB" w:rsidRDefault="00E24C2A" w:rsidP="00E24C2A">
      <w:pPr>
        <w:jc w:val="both"/>
        <w:rPr>
          <w:lang w:val="ru-RU"/>
        </w:rPr>
      </w:pPr>
      <w:r w:rsidRPr="00C803AB">
        <w:rPr>
          <w:lang w:val="ru-RU"/>
        </w:rPr>
        <w:t>с) из фталевого ангидрида и бензола с последующим восстановлением антрахинона до антрацена:</w:t>
      </w:r>
    </w:p>
    <w:p w14:paraId="66C70BE9" w14:textId="77777777" w:rsidR="00E24C2A" w:rsidRPr="00C803AB" w:rsidRDefault="00E24C2A" w:rsidP="00E24C2A">
      <w:pPr>
        <w:jc w:val="center"/>
      </w:pPr>
      <w:r w:rsidRPr="00C803AB">
        <w:object w:dxaOrig="10384" w:dyaOrig="1744" w14:anchorId="11273B9A">
          <v:shape id="_x0000_i1027" type="#_x0000_t75" style="width:459.45pt;height:77.15pt" o:ole="">
            <v:imagedata r:id="rId8" o:title=""/>
          </v:shape>
          <o:OLEObject Type="Embed" ProgID="ChemDraw.Document.6.0" ShapeID="_x0000_i1027" DrawAspect="Content" ObjectID="_1671880948" r:id="rId9"/>
        </w:object>
      </w:r>
    </w:p>
    <w:p w14:paraId="7D20DAB5" w14:textId="77777777" w:rsidR="00E24C2A" w:rsidRPr="00C803AB" w:rsidRDefault="00E24C2A" w:rsidP="00E24C2A">
      <w:pPr>
        <w:jc w:val="both"/>
      </w:pPr>
      <w:r w:rsidRPr="00C803AB">
        <w:rPr>
          <w:lang w:val="ru-RU"/>
        </w:rPr>
        <w:t>В молекуле антрацена</w:t>
      </w:r>
      <w:r w:rsidRPr="00C803AB">
        <w:rPr>
          <w:color w:val="FF0000"/>
          <w:lang w:val="ru-RU"/>
        </w:rPr>
        <w:t xml:space="preserve"> </w:t>
      </w:r>
      <w:r w:rsidRPr="00C803AB">
        <w:rPr>
          <w:lang w:val="ru-RU"/>
        </w:rPr>
        <w:t xml:space="preserve">наиболее активны 9- и 10-е положения, находящиеся под влиянием двух крайних колец. </w:t>
      </w:r>
      <w:proofErr w:type="spellStart"/>
      <w:r w:rsidRPr="00C803AB">
        <w:t>Антрацен</w:t>
      </w:r>
      <w:proofErr w:type="spellEnd"/>
      <w:r w:rsidRPr="00C803AB">
        <w:t xml:space="preserve"> </w:t>
      </w:r>
      <w:proofErr w:type="spellStart"/>
      <w:r w:rsidRPr="00C803AB">
        <w:t>легко</w:t>
      </w:r>
      <w:proofErr w:type="spellEnd"/>
      <w:r w:rsidRPr="00C803AB">
        <w:t xml:space="preserve"> </w:t>
      </w:r>
      <w:proofErr w:type="spellStart"/>
      <w:r w:rsidRPr="00C803AB">
        <w:t>вступает</w:t>
      </w:r>
      <w:proofErr w:type="spellEnd"/>
      <w:r w:rsidRPr="00C803AB">
        <w:t xml:space="preserve"> в </w:t>
      </w:r>
      <w:proofErr w:type="spellStart"/>
      <w:r w:rsidRPr="00C803AB">
        <w:t>реакции</w:t>
      </w:r>
      <w:proofErr w:type="spellEnd"/>
      <w:r w:rsidRPr="00C803AB">
        <w:t xml:space="preserve"> </w:t>
      </w:r>
      <w:proofErr w:type="spellStart"/>
      <w:r w:rsidRPr="00C803AB">
        <w:t>присоединения</w:t>
      </w:r>
      <w:proofErr w:type="spellEnd"/>
      <w:r w:rsidRPr="00C803AB">
        <w:t xml:space="preserve"> </w:t>
      </w:r>
      <w:proofErr w:type="spellStart"/>
      <w:r w:rsidRPr="00C803AB">
        <w:t>по</w:t>
      </w:r>
      <w:proofErr w:type="spellEnd"/>
      <w:r w:rsidRPr="00C803AB">
        <w:t xml:space="preserve"> </w:t>
      </w:r>
      <w:proofErr w:type="spellStart"/>
      <w:r w:rsidRPr="00C803AB">
        <w:t>этим</w:t>
      </w:r>
      <w:proofErr w:type="spellEnd"/>
      <w:r w:rsidRPr="00C803AB">
        <w:t xml:space="preserve"> </w:t>
      </w:r>
      <w:proofErr w:type="spellStart"/>
      <w:r w:rsidRPr="00C803AB">
        <w:t>положениям</w:t>
      </w:r>
      <w:proofErr w:type="spellEnd"/>
      <w:r w:rsidRPr="00C803AB">
        <w:t>:</w:t>
      </w:r>
    </w:p>
    <w:p w14:paraId="707355A0" w14:textId="77777777" w:rsidR="00E24C2A" w:rsidRPr="00C803AB" w:rsidRDefault="00E24C2A" w:rsidP="00E24C2A">
      <w:pPr>
        <w:jc w:val="center"/>
      </w:pPr>
      <w:r w:rsidRPr="00C803AB">
        <w:object w:dxaOrig="9113" w:dyaOrig="2903" w14:anchorId="2926323A">
          <v:shape id="_x0000_i1028" type="#_x0000_t75" style="width:333.85pt;height:106.7pt" o:ole="">
            <v:imagedata r:id="rId10" o:title=""/>
          </v:shape>
          <o:OLEObject Type="Embed" ProgID="ChemDraw.Document.6.0" ShapeID="_x0000_i1028" DrawAspect="Content" ObjectID="_1671880949" r:id="rId11"/>
        </w:object>
      </w:r>
    </w:p>
    <w:p w14:paraId="13A8CF58" w14:textId="77777777" w:rsidR="00E24C2A" w:rsidRPr="00C803AB" w:rsidRDefault="00E24C2A" w:rsidP="00E24C2A">
      <w:pPr>
        <w:jc w:val="both"/>
        <w:rPr>
          <w:lang w:val="ru-RU"/>
        </w:rPr>
      </w:pPr>
      <w:r w:rsidRPr="00C803AB">
        <w:rPr>
          <w:lang w:val="ru-RU"/>
        </w:rPr>
        <w:t>При действии окислителей антрацен легко образует антрахинон, который широко используется для синтеза красителей:</w:t>
      </w:r>
    </w:p>
    <w:p w14:paraId="4E270BF4" w14:textId="77777777" w:rsidR="00E24C2A" w:rsidRPr="00C803AB" w:rsidRDefault="00E24C2A" w:rsidP="00E24C2A">
      <w:pPr>
        <w:jc w:val="center"/>
      </w:pPr>
      <w:r w:rsidRPr="00C803AB">
        <w:object w:dxaOrig="5115" w:dyaOrig="1624" w14:anchorId="3961A626">
          <v:shape id="_x0000_i1029" type="#_x0000_t75" style="width:218.55pt;height:69pt" o:ole="">
            <v:imagedata r:id="rId12" o:title=""/>
          </v:shape>
          <o:OLEObject Type="Embed" ProgID="ChemDraw.Document.6.0" ShapeID="_x0000_i1029" DrawAspect="Content" ObjectID="_1671880950" r:id="rId13"/>
        </w:object>
      </w:r>
    </w:p>
    <w:p w14:paraId="4B027731" w14:textId="77777777" w:rsidR="00E24C2A" w:rsidRPr="00C803AB" w:rsidRDefault="00E24C2A" w:rsidP="00E24C2A">
      <w:pPr>
        <w:ind w:firstLine="708"/>
        <w:jc w:val="both"/>
        <w:rPr>
          <w:lang w:val="ru-RU"/>
        </w:rPr>
      </w:pPr>
      <w:r w:rsidRPr="00C803AB">
        <w:rPr>
          <w:b/>
          <w:i/>
          <w:lang w:val="ru-RU"/>
        </w:rPr>
        <w:t>Фенантрен</w:t>
      </w:r>
      <w:r w:rsidRPr="00C803AB">
        <w:rPr>
          <w:b/>
          <w:lang w:val="ru-RU"/>
        </w:rPr>
        <w:t xml:space="preserve"> </w:t>
      </w:r>
      <w:r w:rsidRPr="00C803AB">
        <w:rPr>
          <w:lang w:val="ru-RU"/>
        </w:rPr>
        <w:t>– трициклический углеводород изомерный антрацену. Так же, как и антрацен, он входит в состав каменноугольной смолы. Лучше, чем антрацен растворим в спирте и бензоле, что позволяет его легко отделять от антрацена. Так же, как в антрацене, в его молекуле наиболее активны 9- и 10-е положения. Он также легко вступает в реакции присоединения и окисления по этим положениям:</w:t>
      </w:r>
    </w:p>
    <w:p w14:paraId="38A36DB1" w14:textId="77777777" w:rsidR="00E24C2A" w:rsidRPr="00C803AB" w:rsidRDefault="00E24C2A" w:rsidP="00E24C2A">
      <w:pPr>
        <w:jc w:val="center"/>
      </w:pPr>
      <w:r w:rsidRPr="00C803AB">
        <w:object w:dxaOrig="5910" w:dyaOrig="3082" w14:anchorId="722FD9CA">
          <v:shape id="_x0000_i1030" type="#_x0000_t75" style="width:208.7pt;height:108.85pt" o:ole="">
            <v:imagedata r:id="rId14" o:title=""/>
          </v:shape>
          <o:OLEObject Type="Embed" ProgID="ChemDraw.Document.6.0" ShapeID="_x0000_i1030" DrawAspect="Content" ObjectID="_1671880951" r:id="rId15"/>
        </w:object>
      </w:r>
    </w:p>
    <w:p w14:paraId="70B3DF70" w14:textId="77777777" w:rsidR="00E24C2A" w:rsidRPr="00C803AB" w:rsidRDefault="00E24C2A" w:rsidP="00E24C2A">
      <w:pPr>
        <w:jc w:val="center"/>
      </w:pPr>
      <w:r w:rsidRPr="00C803AB">
        <w:object w:dxaOrig="9879" w:dyaOrig="1983" w14:anchorId="30C3205B">
          <v:shape id="_x0000_i1031" type="#_x0000_t75" style="width:402.85pt;height:81pt" o:ole="">
            <v:imagedata r:id="rId16" o:title=""/>
          </v:shape>
          <o:OLEObject Type="Embed" ProgID="ChemDraw.Document.6.0" ShapeID="_x0000_i1031" DrawAspect="Content" ObjectID="_1671880952" r:id="rId17"/>
        </w:object>
      </w:r>
    </w:p>
    <w:p w14:paraId="3F8FB81C" w14:textId="77777777" w:rsidR="00E24C2A" w:rsidRPr="00C803AB" w:rsidRDefault="00E24C2A" w:rsidP="00E24C2A">
      <w:pPr>
        <w:jc w:val="both"/>
        <w:rPr>
          <w:lang w:val="ru-RU"/>
        </w:rPr>
      </w:pPr>
      <w:r w:rsidRPr="00C803AB">
        <w:rPr>
          <w:lang w:val="ru-RU"/>
        </w:rPr>
        <w:t>Фрагмент гидрированного фенантрена входит в структуры многих природных соединений – стероидов, гормонов, алкалоидов и др. Например, углеродный скелет стеринов представляет собой конденсированную систему гидрированного фенантренового и пятичленного циклов</w:t>
      </w:r>
    </w:p>
    <w:p w14:paraId="0796DDB8" w14:textId="77777777" w:rsidR="00E24C2A" w:rsidRPr="00C803AB" w:rsidRDefault="00E24C2A" w:rsidP="00E24C2A">
      <w:pPr>
        <w:jc w:val="center"/>
      </w:pPr>
      <w:r w:rsidRPr="00C803AB">
        <w:object w:dxaOrig="2501" w:dyaOrig="1562" w14:anchorId="48BD1435">
          <v:shape id="_x0000_i1032" type="#_x0000_t75" style="width:90.45pt;height:56.15pt" o:ole="">
            <v:imagedata r:id="rId18" o:title=""/>
          </v:shape>
          <o:OLEObject Type="Embed" ProgID="ChemDraw.Document.6.0" ShapeID="_x0000_i1032" DrawAspect="Content" ObjectID="_1671880953" r:id="rId19"/>
        </w:object>
      </w:r>
    </w:p>
    <w:p w14:paraId="41C4A3A0" w14:textId="77777777" w:rsidR="00E24C2A" w:rsidRPr="00C803AB" w:rsidRDefault="00E24C2A" w:rsidP="00E24C2A">
      <w:pPr>
        <w:rPr>
          <w:lang w:val="ru-RU"/>
        </w:rPr>
      </w:pPr>
      <w:r w:rsidRPr="00C803AB">
        <w:rPr>
          <w:lang w:val="ru-RU"/>
        </w:rPr>
        <w:t>Этот фрагмент есть и в структурах холестерина и андростерона (мужского гормона):</w:t>
      </w:r>
    </w:p>
    <w:p w14:paraId="2FC60B6A" w14:textId="77777777" w:rsidR="00E24C2A" w:rsidRPr="00C803AB" w:rsidRDefault="00E24C2A" w:rsidP="00E24C2A">
      <w:pPr>
        <w:jc w:val="center"/>
      </w:pPr>
      <w:r w:rsidRPr="00C803AB">
        <w:object w:dxaOrig="8052" w:dyaOrig="2633" w14:anchorId="18BD043B">
          <v:shape id="_x0000_i1033" type="#_x0000_t75" style="width:318pt;height:104.15pt" o:ole="">
            <v:imagedata r:id="rId20" o:title=""/>
          </v:shape>
          <o:OLEObject Type="Embed" ProgID="ChemDraw.Document.6.0" ShapeID="_x0000_i1033" DrawAspect="Content" ObjectID="_1671880954" r:id="rId21"/>
        </w:object>
      </w:r>
    </w:p>
    <w:p w14:paraId="5BB0B6A0" w14:textId="77777777" w:rsidR="00E24C2A" w:rsidRPr="00C803AB" w:rsidRDefault="00E24C2A" w:rsidP="00E24C2A">
      <w:pPr>
        <w:jc w:val="both"/>
        <w:rPr>
          <w:lang w:val="ru-RU"/>
        </w:rPr>
      </w:pPr>
      <w:r w:rsidRPr="00C803AB">
        <w:rPr>
          <w:lang w:val="ru-RU"/>
        </w:rPr>
        <w:t>Он также входит и в структуру канифоли (основной составной ее части)</w:t>
      </w:r>
    </w:p>
    <w:p w14:paraId="255AFF27" w14:textId="77777777" w:rsidR="00E24C2A" w:rsidRDefault="00E24C2A" w:rsidP="00E24C2A">
      <w:pPr>
        <w:tabs>
          <w:tab w:val="left" w:pos="360"/>
        </w:tabs>
        <w:ind w:left="360" w:hanging="360"/>
        <w:rPr>
          <w:b/>
          <w:lang w:val="ru-RU"/>
        </w:rPr>
      </w:pPr>
    </w:p>
    <w:p w14:paraId="2EFB4BA4" w14:textId="77777777" w:rsidR="00E24C2A" w:rsidRDefault="00E24C2A" w:rsidP="00E24C2A">
      <w:pPr>
        <w:tabs>
          <w:tab w:val="left" w:pos="360"/>
        </w:tabs>
        <w:ind w:left="360" w:hanging="360"/>
        <w:rPr>
          <w:b/>
          <w:lang w:val="ru-RU"/>
        </w:rPr>
      </w:pPr>
    </w:p>
    <w:p w14:paraId="7991AF90" w14:textId="77777777" w:rsidR="00E24C2A" w:rsidRPr="001523BA" w:rsidRDefault="00E24C2A" w:rsidP="00E24C2A">
      <w:pPr>
        <w:tabs>
          <w:tab w:val="left" w:pos="360"/>
        </w:tabs>
        <w:ind w:left="360" w:hanging="360"/>
        <w:rPr>
          <w:b/>
          <w:lang w:val="ru-RU"/>
        </w:rPr>
      </w:pPr>
    </w:p>
    <w:p w14:paraId="6509111C" w14:textId="77777777" w:rsidR="00E24C2A" w:rsidRDefault="00E24C2A" w:rsidP="00E24C2A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27E24B4C" w14:textId="77777777" w:rsidR="00E24C2A" w:rsidRDefault="00E24C2A" w:rsidP="00E24C2A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00A8E259" w14:textId="77777777" w:rsidR="00E24C2A" w:rsidRPr="001523BA" w:rsidRDefault="00E24C2A" w:rsidP="00E24C2A">
      <w:pPr>
        <w:rPr>
          <w:lang w:val="ru-RU"/>
        </w:rPr>
      </w:pPr>
    </w:p>
    <w:p w14:paraId="376E27E8" w14:textId="77777777" w:rsidR="004E02D3" w:rsidRPr="00E24C2A" w:rsidRDefault="004E02D3">
      <w:pPr>
        <w:rPr>
          <w:lang w:val="ru-RU"/>
        </w:rPr>
      </w:pPr>
    </w:p>
    <w:sectPr w:rsidR="004E02D3" w:rsidRPr="00E24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2A"/>
    <w:rsid w:val="004E02D3"/>
    <w:rsid w:val="00E2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55CD6"/>
  <w15:chartTrackingRefBased/>
  <w15:docId w15:val="{E6B357DE-45F2-4839-9433-43D4C18E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C2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4C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character" w:styleId="Hyperlink">
    <w:name w:val="Hyperlink"/>
    <w:rsid w:val="00E24C2A"/>
    <w:rPr>
      <w:rFonts w:cs="Times New Roman"/>
      <w:color w:val="0156AA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Timofeeva Maria</dc:creator>
  <cp:keywords/>
  <dc:description/>
  <cp:lastModifiedBy>Timofeeva Maria</cp:lastModifiedBy>
  <cp:revision>1</cp:revision>
  <dcterms:created xsi:type="dcterms:W3CDTF">2021-01-11T07:34:00Z</dcterms:created>
  <dcterms:modified xsi:type="dcterms:W3CDTF">2021-01-11T07:36:00Z</dcterms:modified>
</cp:coreProperties>
</file>