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D8C" w:rsidRPr="00AE0D8C" w:rsidRDefault="00AE0D8C" w:rsidP="00AE0D8C">
      <w:pPr>
        <w:pBdr>
          <w:bottom w:val="single" w:sz="12" w:space="1" w:color="auto"/>
        </w:pBdr>
        <w:ind w:left="720" w:hanging="12"/>
        <w:jc w:val="both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ОСНОВЫ ХИМИИ НЕФТИ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 xml:space="preserve">2.1. ЭЛЕМЕНТНЫЙ И ФРАКЦИОННЫЙ 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СОСТАВ НЕФТИ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Нефть представляет собой подвижную маслянистую горючую жидкость легче воды от светло-коричневого до черного цвета со специфическим запахом.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С позиции химии нефти – сложная многокомпонентная взаиморастворимая смесь газообразных, жидких и твердых углеводородов различного химического строения с числом углеродных атомов до 100 и более с примесью гетероорганических соединений серя, азота, кислорода и некоторых металлов. По химическому составу нефти различных месторождений весьма разнообразны. Поэтому обсуждение можно вести лишь о составе, молекулярном строении и свойствах «среднестатистической» нефти. Менее всего колеблется элементарный состав нефтей: 82,5-87% углерода; 11,5-14,5% водорода; 0,05-0,35, редко 0,7% кислорода; до 1,8% азота и до 5,3, редко до 10% серы. Кроме названных, в нефтях обнаружены в незначительных количествах очень многие элементы, в т.ч. металлы (</w:t>
      </w:r>
      <w:r w:rsidRPr="00AE0D8C">
        <w:rPr>
          <w:rFonts w:ascii="Times New Roman" w:hAnsi="Times New Roman"/>
          <w:sz w:val="24"/>
          <w:szCs w:val="24"/>
          <w:lang w:val="en-US"/>
        </w:rPr>
        <w:t>Ca</w:t>
      </w:r>
      <w:r w:rsidRPr="00AE0D8C">
        <w:rPr>
          <w:rFonts w:ascii="Times New Roman" w:hAnsi="Times New Roman"/>
          <w:sz w:val="24"/>
          <w:szCs w:val="24"/>
        </w:rPr>
        <w:t xml:space="preserve">, </w:t>
      </w:r>
      <w:r w:rsidRPr="00AE0D8C">
        <w:rPr>
          <w:rFonts w:ascii="Times New Roman" w:hAnsi="Times New Roman"/>
          <w:sz w:val="24"/>
          <w:szCs w:val="24"/>
          <w:lang w:val="en-US"/>
        </w:rPr>
        <w:t>Mg</w:t>
      </w:r>
      <w:r w:rsidRPr="00AE0D8C">
        <w:rPr>
          <w:rFonts w:ascii="Times New Roman" w:hAnsi="Times New Roman"/>
          <w:sz w:val="24"/>
          <w:szCs w:val="24"/>
        </w:rPr>
        <w:t xml:space="preserve">, </w:t>
      </w:r>
      <w:r w:rsidRPr="00AE0D8C">
        <w:rPr>
          <w:rFonts w:ascii="Times New Roman" w:hAnsi="Times New Roman"/>
          <w:sz w:val="24"/>
          <w:szCs w:val="24"/>
          <w:lang w:val="en-US"/>
        </w:rPr>
        <w:t>Fe</w:t>
      </w:r>
      <w:r w:rsidRPr="00AE0D8C">
        <w:rPr>
          <w:rFonts w:ascii="Times New Roman" w:hAnsi="Times New Roman"/>
          <w:sz w:val="24"/>
          <w:szCs w:val="24"/>
        </w:rPr>
        <w:t xml:space="preserve">, </w:t>
      </w:r>
      <w:r w:rsidRPr="00AE0D8C">
        <w:rPr>
          <w:rFonts w:ascii="Times New Roman" w:hAnsi="Times New Roman"/>
          <w:sz w:val="24"/>
          <w:szCs w:val="24"/>
          <w:lang w:val="en-US"/>
        </w:rPr>
        <w:t>Al</w:t>
      </w:r>
      <w:r w:rsidRPr="00AE0D8C">
        <w:rPr>
          <w:rFonts w:ascii="Times New Roman" w:hAnsi="Times New Roman"/>
          <w:sz w:val="24"/>
          <w:szCs w:val="24"/>
        </w:rPr>
        <w:t xml:space="preserve">, </w:t>
      </w:r>
      <w:r w:rsidRPr="00AE0D8C">
        <w:rPr>
          <w:rFonts w:ascii="Times New Roman" w:hAnsi="Times New Roman"/>
          <w:sz w:val="24"/>
          <w:szCs w:val="24"/>
          <w:lang w:val="en-US"/>
        </w:rPr>
        <w:t>Si</w:t>
      </w:r>
      <w:r w:rsidRPr="00AE0D8C">
        <w:rPr>
          <w:rFonts w:ascii="Times New Roman" w:hAnsi="Times New Roman"/>
          <w:sz w:val="24"/>
          <w:szCs w:val="24"/>
        </w:rPr>
        <w:t xml:space="preserve">, </w:t>
      </w:r>
      <w:r w:rsidRPr="00AE0D8C">
        <w:rPr>
          <w:rFonts w:ascii="Times New Roman" w:hAnsi="Times New Roman"/>
          <w:sz w:val="24"/>
          <w:szCs w:val="24"/>
          <w:lang w:val="en-US"/>
        </w:rPr>
        <w:t>V</w:t>
      </w:r>
      <w:r w:rsidRPr="00AE0D8C">
        <w:rPr>
          <w:rFonts w:ascii="Times New Roman" w:hAnsi="Times New Roman"/>
          <w:sz w:val="24"/>
          <w:szCs w:val="24"/>
        </w:rPr>
        <w:t xml:space="preserve">, </w:t>
      </w:r>
      <w:r w:rsidRPr="00AE0D8C">
        <w:rPr>
          <w:rFonts w:ascii="Times New Roman" w:hAnsi="Times New Roman"/>
          <w:sz w:val="24"/>
          <w:szCs w:val="24"/>
          <w:lang w:val="en-US"/>
        </w:rPr>
        <w:t>Ni</w:t>
      </w:r>
      <w:r w:rsidRPr="00AE0D8C">
        <w:rPr>
          <w:rFonts w:ascii="Times New Roman" w:hAnsi="Times New Roman"/>
          <w:sz w:val="24"/>
          <w:szCs w:val="24"/>
        </w:rPr>
        <w:t xml:space="preserve">, </w:t>
      </w:r>
      <w:r w:rsidRPr="00AE0D8C">
        <w:rPr>
          <w:rFonts w:ascii="Times New Roman" w:hAnsi="Times New Roman"/>
          <w:sz w:val="24"/>
          <w:szCs w:val="24"/>
          <w:lang w:val="en-US"/>
        </w:rPr>
        <w:t>Na</w:t>
      </w:r>
      <w:r w:rsidRPr="00AE0D8C">
        <w:rPr>
          <w:rFonts w:ascii="Times New Roman" w:hAnsi="Times New Roman"/>
          <w:sz w:val="24"/>
          <w:szCs w:val="24"/>
        </w:rPr>
        <w:t xml:space="preserve"> и др.).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 Поскольку нефть и нефтепродукты представляют собой много компонентную непрерывную смесь углеводородов и гетероатомных соединений, то обычными методами перегонки не удается разделить их на индивидуальные соединения со строго определенными физическими константами, в частности температурой кипения при данном давлении. Принято разделять нефти и нефтепродукты путем перегонки на отдельные компоненты, каждый из которых является менее сложной смесью. Такие компоненты принято называть фракциями или дистиллятами. В условиях лабораторной или промышленной перегонки отдельные нефтяные фракции отгоняются при постепенно повещающейся температуре кипения. Следовательно, нефть и ее фракции характеризуются не температурой кипения, а температурными пределами начала кипения (н.к.) и конца кипения (к.к.). При исследовании качества новых нефтей (т.е. составлении технического паспорта нефти) фракционный состав их определяют на стандартных перегонных аппаратах, снабженных ректификационными колонками (например, на АРН-2 по ГОСТ 11011-85). Это позволяет значительно улучшить четкость погоноразделения и построить по результатам фракционирования так называемую кривую истинных температур кипения (ИТК) в координатах температура – выход фракций в % масс. (или % об.). Отбор фракций до 200°С проводится при атмосферном давлении, а более высококипящих – под вакуумом во избежание термического разложения. По принятой методике от начала кипения до 300°С отбирают 10-градусные, а затем 50-градусные фракции до температуры к.к. 475-550 °С. Таким образом, фракционный состав нефтей (кривая ИТК) показывает потенциальное содержание в них отдельных нефтяных фракций, являющихся основой для получения товарных нефтепродуктов (автобензинов, реактивных и дизельных топлив, смазочных масел и др.). Для всех этих нефтепродуктов соответствующими ГОСТами нормируется определенный фракционный состав. Нефти различных месторождений значительно различаются по фракционному составу, а следовательно, по потенциальному содержанию дистиллятов моторных топлив и смазочных масел. Большинство нефтей содержит 15-25% бензиновых фракций, выкипающих до 180°С, 45-55% фракций, перегоняющихся до 300-350°С. Известны </w:t>
      </w:r>
      <w:r w:rsidRPr="00AE0D8C">
        <w:rPr>
          <w:rFonts w:ascii="Times New Roman" w:hAnsi="Times New Roman"/>
          <w:sz w:val="24"/>
          <w:szCs w:val="24"/>
        </w:rPr>
        <w:lastRenderedPageBreak/>
        <w:t>месторождения легких нефтей с высоким содержанием светлых (до 350°С). Так, самотлорская нефть содержит 58% светлых, а в нефти месторождения Серия (Индонезия) их содержание достигает 77%. Газовые конденсаты Оренбургского и Карачаганакского месторождений почти полностью (85-90%) состоят из светлых. Добываются также очень тяжелые нефти, в основном состоящие из высококипящих фракций. Например, в нефти Ярегского месторождения (Республика Коми), добываемой шахтным способом, отсутствуют фракции, выкипающие до 180°С, а выход светлых составляет всего 18,8%. Подробные данные о фракционном составе нефтей бывшего СССР имеются в четырехтомном справочнике «Нефти СССР».</w:t>
      </w:r>
    </w:p>
    <w:p w:rsidR="00AE0D8C" w:rsidRPr="00AE0D8C" w:rsidRDefault="00AE0D8C" w:rsidP="00AE0D8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AE0D8C" w:rsidRPr="00AE0D8C" w:rsidRDefault="00AE0D8C" w:rsidP="00AE0D8C">
      <w:pPr>
        <w:spacing w:line="360" w:lineRule="auto"/>
        <w:ind w:left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b/>
          <w:bCs/>
          <w:color w:val="000000"/>
          <w:sz w:val="24"/>
          <w:szCs w:val="24"/>
        </w:rPr>
        <w:t xml:space="preserve">2.2. ХИМИЧЕСКИЙ СОСТАВ И РАСПРЕДЕЛЕНИЕ ГРУППОВЫХ УГЛЕВОДОРОДНЫХ КОМПОНЕНТОВ </w:t>
      </w:r>
    </w:p>
    <w:p w:rsidR="00AE0D8C" w:rsidRPr="00AE0D8C" w:rsidRDefault="00AE0D8C" w:rsidP="00AE0D8C">
      <w:pPr>
        <w:spacing w:line="360" w:lineRule="auto"/>
        <w:ind w:left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b/>
          <w:bCs/>
          <w:color w:val="000000"/>
          <w:sz w:val="24"/>
          <w:szCs w:val="24"/>
        </w:rPr>
        <w:t>ПО ФРАКЦИЯМ НЕФТИ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bCs/>
          <w:color w:val="000000"/>
          <w:sz w:val="24"/>
          <w:szCs w:val="24"/>
        </w:rPr>
        <w:t xml:space="preserve">Наиболее важный показатель качества нефти, определяющий выбор метода переработки, ассортимент и эксплуатационные свойства получаемых нефтепродуктов, - химический состав и его распределение по фракциям. В исходных (нативных) нефтях содержатся в различных соотношениях все классы углеводородов, кроме непредельных (алкенов) в соединений: парафиновые (алканы), нафтеновые (циклоалканы), ароматические (арены) и гибридные – парафино-нафтено-ароматические.  </w:t>
      </w:r>
    </w:p>
    <w:p w:rsidR="00AE0D8C" w:rsidRPr="00AE0D8C" w:rsidRDefault="00AE0D8C" w:rsidP="00AE0D8C">
      <w:pPr>
        <w:rPr>
          <w:rFonts w:ascii="Times New Roman" w:hAnsi="Times New Roman"/>
          <w:bCs/>
          <w:color w:val="000000"/>
          <w:sz w:val="24"/>
          <w:szCs w:val="24"/>
        </w:rPr>
      </w:pPr>
    </w:p>
    <w:p w:rsidR="00AE0D8C" w:rsidRPr="00AE0D8C" w:rsidRDefault="00AE0D8C" w:rsidP="00AE0D8C">
      <w:pPr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b/>
          <w:bCs/>
          <w:color w:val="000000"/>
          <w:sz w:val="24"/>
          <w:szCs w:val="24"/>
        </w:rPr>
        <w:t xml:space="preserve">2.2.1. ПАРАФИНОВЫЕ УГЛЕВОДОРОДЫ 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bCs/>
          <w:color w:val="000000"/>
          <w:sz w:val="24"/>
          <w:szCs w:val="24"/>
        </w:rPr>
        <w:t>Парафиновые углеводороды - алканы (</w:t>
      </w:r>
      <w:r w:rsidRPr="00AE0D8C">
        <w:rPr>
          <w:rFonts w:ascii="Times New Roman" w:hAnsi="Times New Roman"/>
          <w:bCs/>
          <w:color w:val="000000"/>
          <w:position w:val="-10"/>
          <w:sz w:val="24"/>
          <w:szCs w:val="24"/>
        </w:rPr>
        <w:object w:dxaOrig="8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9" type="#_x0000_t75" style="width:41.85pt;height:16.75pt" o:ole="">
            <v:imagedata r:id="rId4" o:title=""/>
          </v:shape>
          <o:OLEObject Type="Embed" ProgID="Equation.3" ShapeID="_x0000_i1069" DrawAspect="Content" ObjectID="_1491745391" r:id="rId5"/>
        </w:objec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t>) - составляют значительную часть групповых компонентов нефтей и природных газов всех месторождений. Общее содержание их в нефтях составляет 25 - 35 % мас., (не считая растворенных газов)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и только в некоторых парафинистых нефтях, например типа мангышлакской, озек-суатской, достигает до 40 - 50 % мас. Наиболее широко представлены в нефтях алканы нормального строения и изоалканы преимущественно монометилзамещенные с различным положением метильной группы в цепи. С повышением молекулярной массы фракций нефти содержание в них алканов уменьшается. Попутные нефтяные и природные газы практически полностью, а прямогенные бензины чаще всего на 60 – 70% состоят из аланов. В масляных фракциях их содержание снижается до 5-20% мас.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Style w:val="final"/>
          <w:rFonts w:ascii="Times New Roman" w:hAnsi="Times New Roman"/>
          <w:b/>
          <w:bCs/>
          <w:color w:val="000000"/>
          <w:sz w:val="24"/>
          <w:szCs w:val="24"/>
        </w:rPr>
        <w:t xml:space="preserve">Газообразные алканы.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Алканы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800" w:dyaOrig="340">
          <v:shape id="_x0000_i1025" type="#_x0000_t75" style="width:39.35pt;height:17.6pt" o:ole="">
            <v:imagedata r:id="rId6" o:title=""/>
          </v:shape>
          <o:OLEObject Type="Embed" ProgID="Equation.3" ShapeID="_x0000_i1025" DrawAspect="Content" ObjectID="_1491745392" r:id="rId7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: метан, этан, пропан, бутан и изобутан, а также 2,2- диметилпропан при нормальных условиях находятся в газообразном состоянии. Все они входят в состав природных, газоконденстных и нефтяных попутных газов. 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Природные газы добывают с чисто газовых месторождений. Они состоят в основном из метана (93-99% мас.) с небольшой примесью его гомологов, азота и редких газов (He, Ar и др.). Газы газоконденсатных месторождений и нефтяные попутные газы отличаются от чисто газовых тем, что метану в них сопутствуют в значительных концентрациях его газообразные гомологи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800" w:dyaOrig="340">
          <v:shape id="_x0000_i1026" type="#_x0000_t75" style="width:39.35pt;height:17.6pt" o:ole="">
            <v:imagedata r:id="rId8" o:title=""/>
          </v:shape>
          <o:OLEObject Type="Embed" ProgID="Equation.3" ShapeID="_x0000_i1026" DrawAspect="Content" ObjectID="_1491745393" r:id="rId9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и выше. Поэтому они получили название жирных газов. Из них получают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lastRenderedPageBreak/>
        <w:t xml:space="preserve">легкий газовый бензин, который является добавкой к товарным бензинам, а также сжатые жидкий газы в качестве горючего. Этан, пропан и бутаны после разделения служат сырьем для нефтехимии. 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Style w:val="final"/>
          <w:rFonts w:ascii="Times New Roman" w:hAnsi="Times New Roman"/>
          <w:b/>
          <w:bCs/>
          <w:color w:val="000000"/>
          <w:sz w:val="24"/>
          <w:szCs w:val="24"/>
        </w:rPr>
        <w:t xml:space="preserve">Жидкие алканы.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Алканы от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859" w:dyaOrig="360">
          <v:shape id="_x0000_i1027" type="#_x0000_t75" style="width:42.7pt;height:18.4pt" o:ole="">
            <v:imagedata r:id="rId10" o:title=""/>
          </v:shape>
          <o:OLEObject Type="Embed" ProgID="Equation.3" ShapeID="_x0000_i1027" DrawAspect="Content" ObjectID="_1491745394" r:id="rId11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в обычных условиях представляют собой жидкости, входящие в состав бензиновых (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859" w:dyaOrig="360">
          <v:shape id="_x0000_i1028" type="#_x0000_t75" style="width:42.7pt;height:18.4pt" o:ole="">
            <v:imagedata r:id="rId12" o:title=""/>
          </v:shape>
          <o:OLEObject Type="Embed" ProgID="Equation.3" ShapeID="_x0000_i1028" DrawAspect="Content" ObjectID="_1491745395" r:id="rId13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>) и керосиновых (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900" w:dyaOrig="360">
          <v:shape id="_x0000_i1029" type="#_x0000_t75" style="width:45.2pt;height:18.4pt" o:ole="">
            <v:imagedata r:id="rId14" o:title=""/>
          </v:shape>
          <o:OLEObject Type="Embed" ProgID="Equation.3" ShapeID="_x0000_i1029" DrawAspect="Content" ObjectID="_1491745396" r:id="rId15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) фракций нефтей. Исследованиями установлено, что жидкие алканы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800" w:dyaOrig="360">
          <v:shape id="_x0000_i1030" type="#_x0000_t75" style="width:39.35pt;height:18.4pt" o:ole="">
            <v:imagedata r:id="rId16" o:title=""/>
          </v:shape>
          <o:OLEObject Type="Embed" ProgID="Equation.3" ShapeID="_x0000_i1030" DrawAspect="Content" ObjectID="_1491745397" r:id="rId17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имеют в основном нормальное или слаборазветвленное строение. Исключением из этого правила являются анастасиевская нефть Краснодарского края и нефть морского месторождения Нефтяные Камни, в которых содержатся сильноразветвленные изопарафины. 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Style w:val="final"/>
          <w:rFonts w:ascii="Times New Roman" w:hAnsi="Times New Roman"/>
          <w:b/>
          <w:bCs/>
          <w:color w:val="000000"/>
          <w:sz w:val="24"/>
          <w:szCs w:val="24"/>
        </w:rPr>
        <w:t>Твердые алканы.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Алканы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360" w:dyaOrig="360">
          <v:shape id="_x0000_i1031" type="#_x0000_t75" style="width:18.4pt;height:18.4pt" o:ole="">
            <v:imagedata r:id="rId18" o:title=""/>
          </v:shape>
          <o:OLEObject Type="Embed" ProgID="Equation.3" ShapeID="_x0000_i1031" DrawAspect="Content" ObjectID="_1491745398" r:id="rId19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и выше при нормальных условиях – твердые вещества, входящие в состав нефтяных парафинов и церезинов. Они присутствуют во всех нефтях, чаще в небольших количествах ( до 5% мас.) в растворенном или взвешенном кристаллическом состоянии. В парафинистых и высокопарафинистых нефтях их содержание повышается до 10-20% мас. Таковыми являются нефти озек-суатская, жетыбайская и узеньская полуострова Мангышлак, грозненская парафинистая и др.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Нефтяные парафины представляют собой смесь преимущественно алканов разной молекулярной массы, характеризуются пластинчатой или ленточной структурой кристаллов. При перегонке мазута в масляные фракции попадают твердые алканы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920" w:dyaOrig="360">
          <v:shape id="_x0000_i1032" type="#_x0000_t75" style="width:46.05pt;height:18.4pt" o:ole="">
            <v:imagedata r:id="rId20" o:title=""/>
          </v:shape>
          <o:OLEObject Type="Embed" ProgID="Equation.3" ShapeID="_x0000_i1032" DrawAspect="Content" ObjectID="_1491745399" r:id="rId21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с молекулярной массой 250-500. В гудронах концентрируются более высокоплавкие алканы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940" w:dyaOrig="360">
          <v:shape id="_x0000_i1033" type="#_x0000_t75" style="width:46.9pt;height:18.4pt" o:ole="">
            <v:imagedata r:id="rId22" o:title=""/>
          </v:shape>
          <o:OLEObject Type="Embed" ProgID="Equation.3" ShapeID="_x0000_i1033" DrawAspect="Content" ObjectID="_1491745400" r:id="rId23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- церезины, отличающиеся от парафинов мелкокристаллической структурой, более высокой молекулярной массой (500-700) и температурой плавления (65-88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340" w:dyaOrig="320">
          <v:shape id="_x0000_i1034" type="#_x0000_t75" style="width:17.6pt;height:15.9pt" o:ole="">
            <v:imagedata r:id="rId24" o:title=""/>
          </v:shape>
          <o:OLEObject Type="Embed" ProgID="Equation.3" ShapeID="_x0000_i1034" DrawAspect="Content" ObjectID="_1491745401" r:id="rId25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вместо 45-54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340" w:dyaOrig="320">
          <v:shape id="_x0000_i1035" type="#_x0000_t75" style="width:17.6pt;height:15.9pt" o:ole="">
            <v:imagedata r:id="rId26" o:title=""/>
          </v:shape>
          <o:OLEObject Type="Embed" ProgID="Equation.3" ShapeID="_x0000_i1035" DrawAspect="Content" ObjectID="_1491745402" r:id="rId27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у парафинов). Исследованиями установлено, что твердые парафины состоят преимущественно из алканов нормального строения, а церезины – в основном из циклоалканоы и аренов с длинными алкильными цепями нормального и изостроения. Церезины входят также в состав природного горючего минерала – озокерита.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>Парафины и церезины являются нежелательными компонентами в составе масляных фракций нефти, поскольку повышают температуру их застывания. Они находят разнообразное техническое применение во многих отраслях промышленности: электро- и радиотехнической, бумажной, спичечной, кожевенной, парфюмерной, химической и др. Они применяются также в производстве пластичных смазок, изготовлении свечей и т.д. Особо важная современная область применения - как нефтехимическое сырье для производства синтетических жирных кислот, спиртов, поверхностно-активных веществ, деэмульгаторов, стиральных порошков и т.д.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/>
          <w:bCs/>
          <w:color w:val="000000"/>
          <w:sz w:val="24"/>
          <w:szCs w:val="24"/>
        </w:rPr>
      </w:pPr>
      <w:r w:rsidRPr="00AE0D8C">
        <w:rPr>
          <w:rStyle w:val="final"/>
          <w:rFonts w:ascii="Times New Roman" w:hAnsi="Times New Roman"/>
          <w:b/>
          <w:bCs/>
          <w:color w:val="000000"/>
          <w:sz w:val="24"/>
          <w:szCs w:val="24"/>
        </w:rPr>
        <w:t xml:space="preserve">2.2.2. НЕПРЕДЕЛЬНЫЕ УГЛЕВОДОРОДЫ 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/>
          <w:bCs/>
          <w:color w:val="000000"/>
          <w:sz w:val="24"/>
          <w:szCs w:val="24"/>
        </w:rPr>
      </w:pPr>
      <w:r w:rsidRPr="00AE0D8C">
        <w:rPr>
          <w:rStyle w:val="final"/>
          <w:rFonts w:ascii="Times New Roman" w:hAnsi="Times New Roman"/>
          <w:b/>
          <w:bCs/>
          <w:color w:val="000000"/>
          <w:sz w:val="24"/>
          <w:szCs w:val="24"/>
        </w:rPr>
        <w:t>(АЛКЕНЫ, ДИАЛКЕНЫ)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Непредельные углеводороды (олефины) с общей формулой </w:t>
      </w:r>
      <w:r w:rsidRPr="00AE0D8C">
        <w:rPr>
          <w:rFonts w:ascii="Times New Roman" w:hAnsi="Times New Roman"/>
          <w:bCs/>
          <w:color w:val="000000"/>
          <w:position w:val="-10"/>
          <w:sz w:val="24"/>
          <w:szCs w:val="24"/>
        </w:rPr>
        <w:object w:dxaOrig="680" w:dyaOrig="340">
          <v:shape id="_x0000_i1070" type="#_x0000_t75" style="width:34.35pt;height:16.75pt" o:ole="">
            <v:imagedata r:id="rId28" o:title=""/>
          </v:shape>
          <o:OLEObject Type="Embed" ProgID="Equation.3" ShapeID="_x0000_i1070" DrawAspect="Content" ObjectID="_1491745403" r:id="rId29"/>
        </w:objec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t xml:space="preserve"> для алкенов и </w:t>
      </w:r>
      <w:r w:rsidRPr="00AE0D8C">
        <w:rPr>
          <w:rFonts w:ascii="Times New Roman" w:hAnsi="Times New Roman"/>
          <w:bCs/>
          <w:color w:val="000000"/>
          <w:position w:val="-10"/>
          <w:sz w:val="24"/>
          <w:szCs w:val="24"/>
        </w:rPr>
        <w:object w:dxaOrig="840" w:dyaOrig="340">
          <v:shape id="_x0000_i1071" type="#_x0000_t75" style="width:41.85pt;height:16.75pt" o:ole="">
            <v:imagedata r:id="rId30" o:title=""/>
          </v:shape>
          <o:OLEObject Type="Embed" ProgID="Equation.3" ShapeID="_x0000_i1071" DrawAspect="Content" ObjectID="_1491745404" r:id="rId31"/>
        </w:objec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t xml:space="preserve"> для диалкенов в нативных нефтях и природных газах обычно не присутствуют. Они </w: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образуются в химических процессах переработки нефти и ее фракций (термический и каталитический крекинг, коксование. Пиролиз и др.). В газах этих процессов содержание олефинов </w:t>
      </w:r>
      <w:r w:rsidRPr="00AE0D8C">
        <w:rPr>
          <w:rStyle w:val="final"/>
          <w:rFonts w:ascii="Times New Roman" w:hAnsi="Times New Roman"/>
          <w:bCs/>
          <w:color w:val="000000"/>
          <w:position w:val="-10"/>
          <w:sz w:val="24"/>
          <w:szCs w:val="24"/>
        </w:rPr>
        <w:object w:dxaOrig="780" w:dyaOrig="340">
          <v:shape id="_x0000_i1072" type="#_x0000_t75" style="width:39.35pt;height:17.6pt" o:ole="">
            <v:imagedata r:id="rId32" o:title=""/>
          </v:shape>
          <o:OLEObject Type="Embed" ProgID="Equation.3" ShapeID="_x0000_i1072" DrawAspect="Content" ObjectID="_1491745405" r:id="rId33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 составляет 20-60% мас. К ним относят этилен, пропилен, бутен-1, бутен-2 (цис- и транс-формы), изобутилен, бутадиен. Жидкие алкены (</w:t>
      </w:r>
      <w:r w:rsidRPr="00AE0D8C">
        <w:rPr>
          <w:rStyle w:val="final"/>
          <w:rFonts w:ascii="Times New Roman" w:hAnsi="Times New Roman"/>
          <w:bCs/>
          <w:color w:val="000000"/>
          <w:position w:val="-12"/>
          <w:sz w:val="24"/>
          <w:szCs w:val="24"/>
        </w:rPr>
        <w:object w:dxaOrig="859" w:dyaOrig="360">
          <v:shape id="_x0000_i1073" type="#_x0000_t75" style="width:42.7pt;height:18.4pt" o:ole="">
            <v:imagedata r:id="rId34" o:title=""/>
          </v:shape>
          <o:OLEObject Type="Embed" ProgID="Equation.3" ShapeID="_x0000_i1073" DrawAspect="Content" ObjectID="_1491745406" r:id="rId35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) нормального и изостроения входят в состав легких и тяжелых дистиллятов вторичного происхождения. 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 xml:space="preserve">Все алкены, особенно диалкены, обладают повышенной реакционной способностью в реакциях окисления, алкилирования, полимеризации и др. Присутствие алкенов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300" w:dyaOrig="360">
          <v:shape id="_x0000_i1036" type="#_x0000_t75" style="width:15.05pt;height:18.4pt" o:ole="">
            <v:imagedata r:id="rId36" o:title=""/>
          </v:shape>
          <o:OLEObject Type="Embed" ProgID="Equation.3" ShapeID="_x0000_i1036" DrawAspect="Content" ObjectID="_1491745407" r:id="rId37"/>
        </w:object>
      </w:r>
      <w:r w:rsidRPr="00AE0D8C">
        <w:rPr>
          <w:rFonts w:ascii="Times New Roman" w:hAnsi="Times New Roman"/>
          <w:sz w:val="24"/>
          <w:szCs w:val="24"/>
        </w:rPr>
        <w:t xml:space="preserve"> и выше в нефтепродуктах (топливах, маслах) ухудшает их эксплуатационные свойства (из-за окисляемости и осмоления). В то же время они являются ценным сырьем нефтехимического синтеза в производстве пластмасс, каучуков, моющих средств и т.п. 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Содержание непредельных углеводородов в нефтяных фракциях оценивается так называемым иодным числом (И.Ч.), характеризующим присоединение количества граммов иода на </w:t>
      </w:r>
      <w:smartTag w:uri="urn:schemas-microsoft-com:office:smarttags" w:element="metricconverter">
        <w:smartTagPr>
          <w:attr w:name="ProductID" w:val="100 г"/>
        </w:smartTagPr>
        <w:r w:rsidRPr="00AE0D8C">
          <w:rPr>
            <w:rFonts w:ascii="Times New Roman" w:hAnsi="Times New Roman"/>
            <w:sz w:val="24"/>
            <w:szCs w:val="24"/>
          </w:rPr>
          <w:t>100 г</w:t>
        </w:r>
      </w:smartTag>
      <w:r w:rsidRPr="00AE0D8C">
        <w:rPr>
          <w:rFonts w:ascii="Times New Roman" w:hAnsi="Times New Roman"/>
          <w:sz w:val="24"/>
          <w:szCs w:val="24"/>
        </w:rPr>
        <w:t xml:space="preserve"> нефтепродукта при их взаимодействии, по специальной методике.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2.2.3. НАФТЕНОВЫЕ УГЛЕВОДОРОДЫ.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Нафтеновые углеводороды – циклоалканы (цикланы -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1040" w:dyaOrig="360">
          <v:shape id="_x0000_i1037" type="#_x0000_t75" style="width:51.9pt;height:18.4pt" o:ole="">
            <v:imagedata r:id="rId38" o:title=""/>
          </v:shape>
          <o:OLEObject Type="Embed" ProgID="Equation.3" ShapeID="_x0000_i1037" DrawAspect="Content" ObjectID="_1491745408" r:id="rId39"/>
        </w:object>
      </w:r>
      <w:r w:rsidRPr="00AE0D8C">
        <w:rPr>
          <w:rFonts w:ascii="Times New Roman" w:hAnsi="Times New Roman"/>
          <w:sz w:val="24"/>
          <w:szCs w:val="24"/>
        </w:rPr>
        <w:t>) – входят в состав всех фракций нефтей, кроме газов. В среднем в нефтях различных типов они содержатся от 25 до 80 % мас. Бензиновые и керосиновые фракции нефтей представлены в основном гомологами циклопентана и циклогексана, преимущественно с короткими (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780" w:dyaOrig="360">
          <v:shape id="_x0000_i1038" type="#_x0000_t75" style="width:39.35pt;height:18.4pt" o:ole="">
            <v:imagedata r:id="rId40" o:title=""/>
          </v:shape>
          <o:OLEObject Type="Embed" ProgID="Equation.3" ShapeID="_x0000_i1038" DrawAspect="Content" ObjectID="_1491745409" r:id="rId41"/>
        </w:object>
      </w:r>
      <w:r w:rsidRPr="00AE0D8C">
        <w:rPr>
          <w:rFonts w:ascii="Times New Roman" w:hAnsi="Times New Roman"/>
          <w:sz w:val="24"/>
          <w:szCs w:val="24"/>
        </w:rPr>
        <w:t>) алкилзамещенными цикланами. Высококипящие фракции содержат преимущественно полициклические гомологи нафтенов с двумя-четырьмя одинаковыми или различными циклами сочленного или конденсированного типов строения:</w:t>
      </w:r>
    </w:p>
    <w:p w:rsidR="00AE0D8C" w:rsidRPr="00AE0D8C" w:rsidRDefault="00AE0D8C" w:rsidP="00AE0D8C">
      <w:pPr>
        <w:tabs>
          <w:tab w:val="left" w:pos="1665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ab/>
      </w:r>
      <w:r w:rsidRPr="00AE0D8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750310" cy="2869565"/>
            <wp:effectExtent l="19050" t="0" r="2540" b="0"/>
            <wp:docPr id="20" name="Рисунок 8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11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lum bright="-6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0310" cy="2869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Распределение нафтеновых углеводородов по фракциям нефти самое разнообразное. Их содержание обычно растет по мере утяжеления фракций и только в наиболее высококипящих масляных фракциях падает. В некоторых нефтях нафтены распределены почти равномерно по фракциям.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lastRenderedPageBreak/>
        <w:t>Наиболее богаты циклоалканами бакинские и эмбенские нефти – 40-60%, а в отдельных фракциях – до 60-80% мас. Нефть восточных райнов характеризуется значительно меньшим их содержанием.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Распределение циклоалканов по типам структур определяется химическим свойством нефтей и температурными пределами фракций. Для большинства нефтей характерно преобладание моно- и бицикланов над остальными нафтенами, особенно в низкокипящих фракциях. С ростом температуры кипения фракций последовательно повышается доля нафтенов с большим числом циклов, а моноцикланов – непрерывно снижается.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качестве примера ниже представлен состав углеводородов бензиновой фракции ромашкинской нефти (в % по массе):</w:t>
      </w:r>
    </w:p>
    <w:p w:rsidR="00AE0D8C" w:rsidRPr="00AE0D8C" w:rsidRDefault="00AE0D8C" w:rsidP="00AE0D8C">
      <w:pPr>
        <w:ind w:firstLine="708"/>
        <w:jc w:val="both"/>
        <w:rPr>
          <w:rStyle w:val="final"/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Алканы </w: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859" w:dyaOrig="360">
          <v:shape id="_x0000_i1039" type="#_x0000_t75" style="width:42.7pt;height:18.4pt" o:ole="">
            <v:imagedata r:id="rId43" o:title=""/>
          </v:shape>
          <o:OLEObject Type="Embed" ProgID="Equation.3" ShapeID="_x0000_i1039" DrawAspect="Content" ObjectID="_1491745410" r:id="rId44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>……………………………………………...………….….58,64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ab/>
        <w:t>Циклоалканы, в т.ч.: ………………………………………...………….....27,97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ab/>
      </w:r>
      <w:r w:rsidRPr="00AE0D8C">
        <w:rPr>
          <w:rFonts w:ascii="Times New Roman" w:hAnsi="Times New Roman"/>
          <w:sz w:val="24"/>
          <w:szCs w:val="24"/>
        </w:rPr>
        <w:tab/>
        <w:t>метилциклопентан ……………………..……....……………………1,87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ab/>
      </w:r>
      <w:r w:rsidRPr="00AE0D8C">
        <w:rPr>
          <w:rFonts w:ascii="Times New Roman" w:hAnsi="Times New Roman"/>
          <w:sz w:val="24"/>
          <w:szCs w:val="24"/>
        </w:rPr>
        <w:tab/>
        <w:t>диметилциклопентаны………………………….….…………….....1,85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ab/>
      </w:r>
      <w:r w:rsidRPr="00AE0D8C">
        <w:rPr>
          <w:rFonts w:ascii="Times New Roman" w:hAnsi="Times New Roman"/>
          <w:sz w:val="24"/>
          <w:szCs w:val="24"/>
        </w:rPr>
        <w:tab/>
        <w:t>триметилциклопентаны……………………………………………..1,50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ab/>
      </w:r>
      <w:r w:rsidRPr="00AE0D8C">
        <w:rPr>
          <w:rFonts w:ascii="Times New Roman" w:hAnsi="Times New Roman"/>
          <w:sz w:val="24"/>
          <w:szCs w:val="24"/>
        </w:rPr>
        <w:tab/>
        <w:t>циклогексан…………………………………………………………..0,63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ab/>
      </w:r>
      <w:r w:rsidRPr="00AE0D8C">
        <w:rPr>
          <w:rFonts w:ascii="Times New Roman" w:hAnsi="Times New Roman"/>
          <w:sz w:val="24"/>
          <w:szCs w:val="24"/>
        </w:rPr>
        <w:tab/>
        <w:t>метилциклогексан………………………………………………..…4,34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ab/>
      </w:r>
      <w:r w:rsidRPr="00AE0D8C">
        <w:rPr>
          <w:rFonts w:ascii="Times New Roman" w:hAnsi="Times New Roman"/>
          <w:sz w:val="24"/>
          <w:szCs w:val="24"/>
        </w:rPr>
        <w:tab/>
        <w:t>диметилциклогексаны……………………………………………...2,34</w:t>
      </w:r>
    </w:p>
    <w:p w:rsidR="00AE0D8C" w:rsidRPr="00AE0D8C" w:rsidRDefault="00AE0D8C" w:rsidP="00AE0D8C">
      <w:pPr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ab/>
      </w:r>
      <w:r w:rsidRPr="00AE0D8C">
        <w:rPr>
          <w:rFonts w:ascii="Times New Roman" w:hAnsi="Times New Roman"/>
          <w:sz w:val="24"/>
          <w:szCs w:val="24"/>
        </w:rPr>
        <w:tab/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300" w:dyaOrig="360">
          <v:shape id="_x0000_i1040" type="#_x0000_t75" style="width:15.05pt;height:18.4pt" o:ole="">
            <v:imagedata r:id="rId45" o:title=""/>
          </v:shape>
          <o:OLEObject Type="Embed" ProgID="Equation.3" ShapeID="_x0000_i1040" DrawAspect="Content" ObjectID="_1491745411" r:id="rId46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>……………………………………………...……….……………..5,60</w:t>
      </w:r>
    </w:p>
    <w:p w:rsidR="00AE0D8C" w:rsidRPr="00AE0D8C" w:rsidRDefault="00AE0D8C" w:rsidP="00AE0D8C">
      <w:pPr>
        <w:jc w:val="both"/>
        <w:rPr>
          <w:rStyle w:val="final"/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ab/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ab/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360" w:dyaOrig="360">
          <v:shape id="_x0000_i1041" type="#_x0000_t75" style="width:18.4pt;height:18.4pt" o:ole="">
            <v:imagedata r:id="rId47" o:title=""/>
          </v:shape>
          <o:OLEObject Type="Embed" ProgID="Equation.3" ShapeID="_x0000_i1041" DrawAspect="Content" ObjectID="_1491745412" r:id="rId48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………………………………………………………………….….4,14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ab/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ab/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object w:dxaOrig="360" w:dyaOrig="340">
          <v:shape id="_x0000_i1042" type="#_x0000_t75" style="width:18.4pt;height:17.6pt" o:ole="">
            <v:imagedata r:id="rId49" o:title=""/>
          </v:shape>
          <o:OLEObject Type="Embed" ProgID="Equation.3" ShapeID="_x0000_i1042" DrawAspect="Content" ObjectID="_1491745413" r:id="rId50"/>
        </w:object>
      </w:r>
      <w:r w:rsidRPr="00AE0D8C">
        <w:rPr>
          <w:rStyle w:val="final"/>
          <w:rFonts w:ascii="Times New Roman" w:hAnsi="Times New Roman"/>
          <w:bCs/>
          <w:color w:val="000000"/>
          <w:sz w:val="24"/>
          <w:szCs w:val="24"/>
        </w:rPr>
        <w:t>……………………………………………………………………..2,30</w:t>
      </w:r>
    </w:p>
    <w:p w:rsidR="00AE0D8C" w:rsidRPr="00AE0D8C" w:rsidRDefault="00AE0D8C" w:rsidP="00AE0D8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Нафтеновые углеводороды являются наиболее высококачественной составной частью моторных топлив и смазочных масел. Моноциклические нафтеновые углеводороды придают автобензинам, реактивным и дизельным топливам высокие эксплуатационные свойства, являются более качественными сырьем в процессах каталитического риформинга. В составе смазочных масел нафтены обеспечивают малое изменение вязкости от температуры (т. е. высокий индекс масел). При одинаковом числе углеродных атомов нафтены по сравнению с алканами характеризуются большей плотностью и, что особенно важно, меньшей температурой застывания.</w:t>
      </w:r>
    </w:p>
    <w:p w:rsid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lastRenderedPageBreak/>
        <w:t>2.2.4. АРОМАТИЧЕСКИЕ УГЛЕВОДОРОДЫ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Ароматические углеводороды – арены с эмпирической формулой </w:t>
      </w:r>
      <w:r w:rsidRPr="00AE0D8C">
        <w:rPr>
          <w:rFonts w:ascii="Times New Roman" w:hAnsi="Times New Roman"/>
          <w:bCs/>
          <w:color w:val="000000"/>
          <w:position w:val="-12"/>
          <w:sz w:val="24"/>
          <w:szCs w:val="24"/>
        </w:rPr>
        <w:object w:dxaOrig="1100" w:dyaOrig="360">
          <v:shape id="_x0000_i1074" type="#_x0000_t75" style="width:55.25pt;height:18.4pt" o:ole="">
            <v:imagedata r:id="rId51" o:title=""/>
          </v:shape>
          <o:OLEObject Type="Embed" ProgID="Equation.3" ShapeID="_x0000_i1074" DrawAspect="Content" ObjectID="_1491745414" r:id="rId52"/>
        </w:objec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t xml:space="preserve"> (где Ка – число ареновых колец) – содержатся в нефтях, как правило, в меньшем количестве (15-50% мас.), чем алканы и циклоалканы представлены гомологами бензола в бензиновых фракциях и производными полициклических аренов с числом Ка до 4 и более в средних топливных и масляных фракциях.</w:t>
      </w:r>
    </w:p>
    <w:p w:rsidR="00AE0D8C" w:rsidRPr="00AE0D8C" w:rsidRDefault="00AE0D8C" w:rsidP="00AE0D8C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bCs/>
          <w:color w:val="000000"/>
          <w:sz w:val="24"/>
          <w:szCs w:val="24"/>
        </w:rPr>
        <w:t xml:space="preserve">           Распределение их по фракциям нефти различно и зависит от степени ароматизированности нефти, выражающейся в ее плотности. В легких нефтях содержание аренов с повышением температуры кипения фракций, как правило, снижается. Нефти средней плотности нафтенового типа характеризуются почти равномерным распределением аренов по фракциям. В тяжелых нефтях содержание их резко возрастает с повышением температуры кипения фракций.</w:t>
      </w:r>
    </w:p>
    <w:p w:rsidR="00AE0D8C" w:rsidRPr="00AE0D8C" w:rsidRDefault="00AE0D8C" w:rsidP="00AE0D8C">
      <w:pPr>
        <w:spacing w:line="36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965700" cy="4309110"/>
            <wp:effectExtent l="19050" t="0" r="6350" b="0"/>
            <wp:docPr id="26" name="Рисунок 7" descr="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111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430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bCs/>
          <w:color w:val="000000"/>
          <w:sz w:val="24"/>
          <w:szCs w:val="24"/>
        </w:rPr>
        <w:t xml:space="preserve">            В бензиновых фракциях нефтей идентифицированы все теоретически возможные гомологи бензола 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800" w:dyaOrig="360">
          <v:shape id="_x0000_i1043" type="#_x0000_t75" style="width:39.35pt;height:18.4pt" o:ole="">
            <v:imagedata r:id="rId54" o:title=""/>
          </v:shape>
          <o:OLEObject Type="Embed" ProgID="Equation.3" ShapeID="_x0000_i1043" DrawAspect="Content" ObjectID="_1491745415" r:id="rId55"/>
        </w:object>
      </w:r>
      <w:r w:rsidRPr="00AE0D8C">
        <w:rPr>
          <w:rFonts w:ascii="Times New Roman" w:hAnsi="Times New Roman"/>
          <w:sz w:val="24"/>
          <w:szCs w:val="24"/>
        </w:rPr>
        <w:t xml:space="preserve"> с преобладание термодинамически более устойчивых изомеров с числом алкильных заместителей примерно в следующем соотношении: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2720" w:dyaOrig="360">
          <v:shape id="_x0000_i1044" type="#_x0000_t75" style="width:135.65pt;height:18.4pt" o:ole="">
            <v:imagedata r:id="rId56" o:title=""/>
          </v:shape>
          <o:OLEObject Type="Embed" ProgID="Equation.3" ShapeID="_x0000_i1044" DrawAspect="Content" ObjectID="_1491745416" r:id="rId57"/>
        </w:object>
      </w:r>
      <w:r w:rsidRPr="00AE0D8C">
        <w:rPr>
          <w:rFonts w:ascii="Times New Roman" w:hAnsi="Times New Roman"/>
          <w:sz w:val="24"/>
          <w:szCs w:val="24"/>
        </w:rPr>
        <w:t xml:space="preserve">. Причем из аренов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300" w:dyaOrig="360">
          <v:shape id="_x0000_i1045" type="#_x0000_t75" style="width:15.05pt;height:18.4pt" o:ole="">
            <v:imagedata r:id="rId58" o:title=""/>
          </v:shape>
          <o:OLEObject Type="Embed" ProgID="Equation.3" ShapeID="_x0000_i1045" DrawAspect="Content" ObjectID="_1491745417" r:id="rId59"/>
        </w:object>
      </w:r>
      <w:r w:rsidRPr="00AE0D8C">
        <w:rPr>
          <w:rFonts w:ascii="Times New Roman" w:hAnsi="Times New Roman"/>
          <w:sz w:val="24"/>
          <w:szCs w:val="24"/>
        </w:rPr>
        <w:t xml:space="preserve"> соотношение этилбензола к сумме ксилолов (диметилбензола) составляет 1: 5, а среди аренов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300" w:dyaOrig="360">
          <v:shape id="_x0000_i1046" type="#_x0000_t75" style="width:15.05pt;height:18.4pt" o:ole="">
            <v:imagedata r:id="rId60" o:title=""/>
          </v:shape>
          <o:OLEObject Type="Embed" ProgID="Equation.3" ShapeID="_x0000_i1046" DrawAspect="Content" ObjectID="_1491745418" r:id="rId61"/>
        </w:object>
      </w:r>
      <w:r w:rsidRPr="00AE0D8C">
        <w:rPr>
          <w:rFonts w:ascii="Times New Roman" w:hAnsi="Times New Roman"/>
          <w:sz w:val="24"/>
          <w:szCs w:val="24"/>
        </w:rPr>
        <w:t xml:space="preserve"> пропилбензол, метилбензол и триметилбензол содержатся в пропорции 1 : 3 : 5. В бензинах в больших количествах </w:t>
      </w:r>
    </w:p>
    <w:p w:rsidR="00AE0D8C" w:rsidRPr="00AE0D8C" w:rsidRDefault="00AE0D8C" w:rsidP="00AE0D8C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Обнаружены арены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360" w:dyaOrig="360">
          <v:shape id="_x0000_i1047" type="#_x0000_t75" style="width:18.4pt;height:18.4pt" o:ole="">
            <v:imagedata r:id="rId62" o:title=""/>
          </v:shape>
          <o:OLEObject Type="Embed" ProgID="Equation.3" ShapeID="_x0000_i1047" DrawAspect="Content" ObjectID="_1491745419" r:id="rId63"/>
        </w:object>
      </w:r>
      <w:r w:rsidRPr="00AE0D8C">
        <w:rPr>
          <w:rFonts w:ascii="Times New Roman" w:hAnsi="Times New Roman"/>
          <w:sz w:val="24"/>
          <w:szCs w:val="24"/>
        </w:rPr>
        <w:t xml:space="preserve">, а также простейший гибридный углеводород – индан. В керосино-газойлевых фракциях нефтей идентифицированы гомологи бензола 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360" w:dyaOrig="360">
          <v:shape id="_x0000_i1048" type="#_x0000_t75" style="width:18.4pt;height:18.4pt" o:ole="">
            <v:imagedata r:id="rId62" o:title=""/>
          </v:shape>
          <o:OLEObject Type="Embed" ProgID="Equation.3" ShapeID="_x0000_i1048" DrawAspect="Content" ObjectID="_1491745420" r:id="rId64"/>
        </w:object>
      </w:r>
      <w:r w:rsidRPr="00AE0D8C">
        <w:rPr>
          <w:rFonts w:ascii="Times New Roman" w:hAnsi="Times New Roman"/>
          <w:sz w:val="24"/>
          <w:szCs w:val="24"/>
        </w:rPr>
        <w:t xml:space="preserve"> и более, нафталин, тетралин и их производные. В масляных фракциях найдены фенантрен, антрацен, пирен, хризен, бензантрацен, бензфенантрен и многочисленные их производные, а также гибридные углеводороды с различным сочетанием бензольных и нафтеновых колец.</w:t>
      </w:r>
    </w:p>
    <w:p w:rsidR="00AE0D8C" w:rsidRPr="00AE0D8C" w:rsidRDefault="00AE0D8C" w:rsidP="00AE0D8C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bCs/>
          <w:color w:val="000000"/>
          <w:sz w:val="24"/>
          <w:szCs w:val="24"/>
        </w:rPr>
        <w:t xml:space="preserve">          Для иллюстрации распределения аренов по молекулярной массе приводим ниже среднее содержание их в % мас., от суммы аренов, характерное для отечественных нефтей различных типов:  </w:t>
      </w:r>
    </w:p>
    <w:tbl>
      <w:tblPr>
        <w:tblW w:w="0" w:type="auto"/>
        <w:tblLayout w:type="fixed"/>
        <w:tblLook w:val="01E0"/>
      </w:tblPr>
      <w:tblGrid>
        <w:gridCol w:w="5070"/>
        <w:gridCol w:w="4861"/>
      </w:tblGrid>
      <w:tr w:rsidR="00AE0D8C" w:rsidRPr="00AE0D8C" w:rsidTr="00EA720F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Бензольные……………………………67</w:t>
            </w:r>
          </w:p>
        </w:tc>
        <w:tc>
          <w:tcPr>
            <w:tcW w:w="4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Хризеновые </w:t>
            </w:r>
          </w:p>
        </w:tc>
      </w:tr>
      <w:tr w:rsidR="00AE0D8C" w:rsidRPr="00AE0D8C" w:rsidTr="00EA720F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Нафталиновые.……………………..…18</w:t>
            </w:r>
          </w:p>
        </w:tc>
        <w:tc>
          <w:tcPr>
            <w:tcW w:w="4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ибензфенантреновы………………3</w:t>
            </w:r>
          </w:p>
        </w:tc>
      </w:tr>
      <w:tr w:rsidR="00AE0D8C" w:rsidRPr="00AE0D8C" w:rsidTr="00EA720F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Фенантреновые…………………………8</w:t>
            </w:r>
          </w:p>
        </w:tc>
        <w:tc>
          <w:tcPr>
            <w:tcW w:w="4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Пиреновые………………………....2</w:t>
            </w:r>
          </w:p>
        </w:tc>
      </w:tr>
      <w:tr w:rsidR="00AE0D8C" w:rsidRPr="00AE0D8C" w:rsidTr="00EA720F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Антраценовые…………………….…….1</w:t>
            </w:r>
          </w:p>
        </w:tc>
        <w:tc>
          <w:tcPr>
            <w:tcW w:w="4861" w:type="dxa"/>
            <w:tcBorders>
              <w:top w:val="nil"/>
              <w:left w:val="nil"/>
              <w:bottom w:val="nil"/>
              <w:right w:val="nil"/>
              <w:tl2br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Прочие арены……………………...1</w:t>
            </w:r>
          </w:p>
        </w:tc>
      </w:tr>
    </w:tbl>
    <w:p w:rsidR="00AE0D8C" w:rsidRDefault="00AE0D8C" w:rsidP="00AE0D8C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bCs/>
          <w:color w:val="000000"/>
          <w:sz w:val="24"/>
          <w:szCs w:val="24"/>
        </w:rPr>
        <w:t xml:space="preserve">Ароматические углеводороды являются ценными компонентами в автобензинах (с высокими октановыми числами), но нежелательными в реактивных и дизельных топливах. Моноциклические арены с длинными боковыми изопарафиновыми цепями придают смазочным маслам хорошие вязкотемпературные свойства. В этом отношении весьма нежелательны и подлежат удалению из масел полициклические арены без боковых цепей.  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bCs/>
          <w:color w:val="000000"/>
          <w:sz w:val="24"/>
          <w:szCs w:val="24"/>
        </w:rPr>
        <w:t>Индивидуальные ароматические углеводороды: бензол, толуол, ксилолы, этилбензол, изопропилбензол и нафталин – ценное сырье для многих процессов нефтехимического и органического синтеза, включая такие важные отрасли нефтехимической промышленности, как производство синтетических каучуков, пластмасс, синтетических волокон, взрывчатых, анилино-красочных и фармацевтических веществ.</w:t>
      </w:r>
    </w:p>
    <w:p w:rsidR="00AE0D8C" w:rsidRPr="00AE0D8C" w:rsidRDefault="00AE0D8C" w:rsidP="00AE0D8C">
      <w:pPr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   </w:t>
      </w:r>
    </w:p>
    <w:p w:rsidR="00AE0D8C" w:rsidRPr="00AE0D8C" w:rsidRDefault="00AE0D8C" w:rsidP="00AE0D8C">
      <w:pPr>
        <w:ind w:firstLine="708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2.2.5. ГИБРИДНЫЕ УГЛЕВОДОРОДЫ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молекулах гибридных углеводородов имеются в различных сочетаниях структурные элементы всех типов: моно- и полициклических Аренов, моно- и полициклических пяти- и шестикольчатых цикланов и алканов нормального и разветвленного строения. Их условно можно подразделить на следующие три типа: 1) алкано-циклановые; 2) алкано-ареновые; 3) алкано-циклано-ареновые. По существу, рассмотренные выше алкилпроизводные циклоалканов и аренов можно отнести к первым двум типам гибридных углеводородов.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Как было отмечено ранее, в бензиновых и керосиновых фракциях идентифицированы простейшие цикло-ареновые углеводороды: индан, тетралин и их производные. Исследования группового химического состава масляных фракций нефтей показали, что они практически полностью состоят из высокомолекулярных гибридных углеводородов. В очищенных товарных маслах гибридные углеводороды первого типа представлены преимущественно моно- и бициклическими цикланами с длинными алкильными цепями (до 50-70% мас.). Гибридные углеводороды с моно- и бициклическими аренами с длинными алкильным цепями могут входить в состав парафинов и церезинов. Третий тип гибридных углеводородов наиболее распространен среди углеводородов высокомолекулярной част нефти.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2.3. ГЕТЕРОАТОМНЫЕ СОЕДИНЕНИЯ НЕФТИ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  Гетероатомные (серо-, азот- и кислородсодержащие) и минеральные соединения, содержащиеся во всех нефтях, являются нежелательными компонентами, поскольку резко ухудшают качество получаемых нефтепродуктов, осложняют переработку (отравляют катализаторы, усиливают коррозию аппаратуры и т.д.) и обусловливают необходимость применения гидрогенизационных процессов.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Между содержанием гетероароматических соединений и плотностью нефтей наблюдается вполне закономерная симбатная зависимость: легкие нефти с высоким содержанием светлых бедны гетеросоединениями и, наоборот, ими богаты тяжелые нефти. В распределении их по фракциям наблюдается также определенная закономерность: гетероатомные соединения концентрируются в высококипящих фракциях и остатках.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2.3.1. СЕРОСОДЕРЖАЩИЕ СОЕДИНЕНИЯ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О количестве сернистых соединений в нефтях судят по результатам определения общего содержания серы, выраженного в процентах. Такой анализ является косвенным и не дает точного представления о содержании, распределении по фракциям и молекулярной структуре сернистых соединений в нефтях. Ориентировочно можно принять, что количество серосодержащих соединений нефти в 10-12 раз превышает количество серы, определенной по анализу. Очевидно, что низкокипящих фракций этот коэффициент несколько ниже, а для высокомолекулярных остатков может доходить до 15.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Сера является наиболее распространенным гетероэлементом в нефтях и нефтепродуктах. Содержание ее в нефтях колеблется от сотых долей до 5-6 % мас., реже до 14 % мас. Низким содержанием серы характеризуются нефти следующих месторождений: Озек-суатское (0,1 %), Сурахансоке (Баку, 0,05 %), Доссорское (Эмба, 0,15 %), Бориславское (Украина, 0,24 %), Узеньское (Мангышлак, 0,25 %), Котур-Тепе (Туркмения, 0,27 %), Речицкое (Белоруссия, 0,32 %) и Сахалинское (0,33-0,5 %). Богаты серосодержащими соединениями нефти Урало-Поволжья и Сибири: количество серы в арланской нефти достигает до 3,0 % мас., а в усть-балыкской – до 1,8 % мас. Из зарубежных наиболее высоким содержанием нефти отличаются нефти: албанская (5-6 % мас.), месторождение Эбано-Пануко (Мексика, 5,4 % мас.), Роузл Пойнт (США – до 14 % мас.). В последнем случае практически все соединения нет являются серосодержащими.</w:t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        </w:t>
      </w:r>
      <w:r w:rsidRPr="00AE0D8C">
        <w:rPr>
          <w:rFonts w:ascii="Times New Roman" w:hAnsi="Times New Roman"/>
          <w:sz w:val="24"/>
          <w:szCs w:val="24"/>
        </w:rPr>
        <w:tab/>
        <w:t>Распределение серы по  фракциям зависит от природы нефти и типа сернистых соединений. Как правило, их содержание увеличивается от низкокипящих у высококипящим и достигает максимума в остатке от вакуумной перегонки нефти – гудроне. В нефтях идентифицированы следующие типы серосодержащих соединений:</w:t>
      </w:r>
    </w:p>
    <w:p w:rsidR="00AE0D8C" w:rsidRPr="00AE0D8C" w:rsidRDefault="00AE0D8C" w:rsidP="00AE0D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Элементарная сера и сероводород – не являются непосредственно сероорганическими соединениями, но появляются в результате деструкции последних;</w:t>
      </w:r>
    </w:p>
    <w:p w:rsidR="00AE0D8C" w:rsidRPr="00AE0D8C" w:rsidRDefault="00AE0D8C" w:rsidP="00AE0D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Меркаптаны – тиолы, обладающие, как и сероводород, кислотными свойствами и наиболее сильной коррозионной активностью;</w:t>
      </w:r>
    </w:p>
    <w:p w:rsidR="00AE0D8C" w:rsidRPr="00AE0D8C" w:rsidRDefault="00AE0D8C" w:rsidP="00AE0D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Алифатические сульфиды (тиоэфиры) – нейтральны при низких температурах, но  термически мало устойчивы при нагревании свыше 130-160 °С с образоване сероводорода и меркаптанов;</w:t>
      </w:r>
    </w:p>
    <w:p w:rsidR="00AE0D8C" w:rsidRPr="00AE0D8C" w:rsidRDefault="00AE0D8C" w:rsidP="00AE0D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lastRenderedPageBreak/>
        <w:t>Моно-  и полициклические сульфиды – термически наиболее устойчивые.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Элементарная сера содержится в растворенном состоянии (до 0,1 % мас.) в нефтях (например, в месторождении Белозерское), связанных с известняковыми отложениями. Она обладает сильной коррозионной активностью, особенно к цветным металлам, в частности, по отношению к меди и ее сплавам.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Сероводород (</w:t>
      </w:r>
      <w:r w:rsidRPr="00AE0D8C">
        <w:rPr>
          <w:rFonts w:ascii="Times New Roman" w:hAnsi="Times New Roman"/>
          <w:position w:val="-10"/>
          <w:sz w:val="24"/>
          <w:szCs w:val="24"/>
        </w:rPr>
        <w:object w:dxaOrig="520" w:dyaOrig="340">
          <v:shape id="_x0000_i1049" type="#_x0000_t75" style="width:25.95pt;height:17.6pt" o:ole="">
            <v:imagedata r:id="rId65" o:title=""/>
          </v:shape>
          <o:OLEObject Type="Embed" ProgID="Equation.3" ShapeID="_x0000_i1049" DrawAspect="Content" ObjectID="_1491745421" r:id="rId66"/>
        </w:object>
      </w:r>
      <w:r w:rsidRPr="00AE0D8C">
        <w:rPr>
          <w:rFonts w:ascii="Times New Roman" w:hAnsi="Times New Roman"/>
          <w:sz w:val="24"/>
          <w:szCs w:val="24"/>
        </w:rPr>
        <w:t>) обнаруживается в сырых нефтях не так часто и значительно в меньших количествах, чем  в природных газах, газоконденсатах и нефтях, например, из месторождений, приуроченных к Прикаспийской впадине (Астраханское, Карачаганакское, Оренбургское, Тенгизское, Жанажолское, Прорвинское и др.).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Меркаптаны (тиолы) имеют строение RSH , где R – углеводородный заместитель всех типов (алканов, циклонов, Аренов, гибридных) разной молекулярной массы. Температура кипения индивидуальных алкилмеркаптанов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780" w:dyaOrig="360">
          <v:shape id="_x0000_i1050" type="#_x0000_t75" style="width:39.35pt;height:18.4pt" o:ole="">
            <v:imagedata r:id="rId67" o:title=""/>
          </v:shape>
          <o:OLEObject Type="Embed" ProgID="Equation.3" ShapeID="_x0000_i1050" DrawAspect="Content" ObjectID="_1491745422" r:id="rId68"/>
        </w:object>
      </w:r>
      <w:r w:rsidRPr="00AE0D8C">
        <w:rPr>
          <w:rFonts w:ascii="Times New Roman" w:hAnsi="Times New Roman"/>
          <w:sz w:val="24"/>
          <w:szCs w:val="24"/>
        </w:rPr>
        <w:t xml:space="preserve"> составляет при атмосферном давлении 6-140 °С. Они обладают сильно неприятным запахом. Это свойство их используется в практике газоснабжения городов и сел для предупреждения о неисправности газовой линии. В качестве одоранта бытовых газов используется этилмеркаптан.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По содержанию тиолов нефти подразделяют на меркаптановые и безмеркаптановые. К первому типу относят долматовскую (0,46 %  RSH из 3,3 % общей серы) и марковскую (0,7 %  RSH из 0,96  % общей серы) и некоторые другие. В аномально высоких концентрациях меркаптаны содержатся в вышеперечисленных газоконденсатах и нефтях  Прикаспийской  низменности. Так, во фракции 40-200 °С Оренбургского газоконденсата на долю меркаптанов приходится 1 % из 1,24 % общей серы. Обнаружена следующая закономерность: меркаптановая сер в нефтях и газоконденсатах сосредоточена главным образом в головных фракциях. Так, доля меркаптановой серы от общего содержания составляет в тенгизской нефти 10 %, а во фракции н.к.-62 °С – 85 % мас.</w:t>
      </w:r>
    </w:p>
    <w:p w:rsidR="00AE0D8C" w:rsidRPr="00AE0D8C" w:rsidRDefault="00AE0D8C" w:rsidP="00AE0D8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Элементарная сера, сероводород и меркаптаны как весьма агрессивные сернистые соединения являются наиболее нежелательной составной частью нефтей. Их необходимо полностью удалять в процессах очистки всех товарных нефтепродуктов.</w:t>
      </w:r>
    </w:p>
    <w:p w:rsidR="00AE0D8C" w:rsidRPr="00AE0D8C" w:rsidRDefault="00AE0D8C" w:rsidP="00AE0D8C">
      <w:pPr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  </w:t>
      </w:r>
    </w:p>
    <w:p w:rsidR="00AE0D8C" w:rsidRPr="00AE0D8C" w:rsidRDefault="00AE0D8C" w:rsidP="00AE0D8C">
      <w:pPr>
        <w:jc w:val="center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793490" cy="1468755"/>
            <wp:effectExtent l="19050" t="0" r="0" b="0"/>
            <wp:docPr id="35" name="Рисунок 6" descr="1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1112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90" cy="146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Сульфиды (тиоэфиры) составляют основную часть сернистых соединений в топливных фракциях нефти (от 50 до 80 % от общей серы в этих фракциях). Нефтяные сульфиды подразделяют на две группы: диалкилсульфиды (тиоалканы) и циклические диалкилсульфиды RS</w:t>
      </w:r>
      <w:r w:rsidRPr="00AE0D8C">
        <w:rPr>
          <w:rFonts w:ascii="Times New Roman" w:hAnsi="Times New Roman"/>
          <w:sz w:val="24"/>
          <w:szCs w:val="24"/>
          <w:lang w:val="en-US"/>
        </w:rPr>
        <w:t>R</w:t>
      </w:r>
      <w:r w:rsidRPr="00AE0D8C">
        <w:rPr>
          <w:rFonts w:ascii="Times New Roman" w:hAnsi="Times New Roman"/>
          <w:sz w:val="24"/>
          <w:szCs w:val="24"/>
        </w:rPr>
        <w:t xml:space="preserve"> ' (где R и  </w:t>
      </w:r>
      <w:r w:rsidRPr="00AE0D8C">
        <w:rPr>
          <w:rFonts w:ascii="Times New Roman" w:hAnsi="Times New Roman"/>
          <w:sz w:val="24"/>
          <w:szCs w:val="24"/>
          <w:lang w:val="en-US"/>
        </w:rPr>
        <w:t>R</w:t>
      </w:r>
      <w:r w:rsidRPr="00AE0D8C">
        <w:rPr>
          <w:rFonts w:ascii="Times New Roman" w:hAnsi="Times New Roman"/>
          <w:sz w:val="24"/>
          <w:szCs w:val="24"/>
        </w:rPr>
        <w:t xml:space="preserve"> ' – алкильные заместители). Тиоалканы содержатся преимущественно в </w:t>
      </w:r>
      <w:r w:rsidRPr="00AE0D8C">
        <w:rPr>
          <w:rFonts w:ascii="Times New Roman" w:hAnsi="Times New Roman"/>
          <w:sz w:val="24"/>
          <w:szCs w:val="24"/>
        </w:rPr>
        <w:lastRenderedPageBreak/>
        <w:t xml:space="preserve">парафиновых нефтях, а циклические – в нафтновых и нафтено-ароматических. Тиолканы 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820" w:dyaOrig="360">
          <v:shape id="_x0000_i1051" type="#_x0000_t75" style="width:41pt;height:18.4pt" o:ole="">
            <v:imagedata r:id="rId70" o:title=""/>
          </v:shape>
          <o:OLEObject Type="Embed" ProgID="Equation.3" ShapeID="_x0000_i1051" DrawAspect="Content" ObjectID="_1491745423" r:id="rId71"/>
        </w:object>
      </w:r>
      <w:r w:rsidRPr="00AE0D8C">
        <w:rPr>
          <w:rFonts w:ascii="Times New Roman" w:hAnsi="Times New Roman"/>
          <w:sz w:val="24"/>
          <w:szCs w:val="24"/>
        </w:rPr>
        <w:t>имеют низкие температуры кипения (37-150 °С) и при перегонке нефти попадают в бензиновые фракции. С повышением температуры кипения нефтяных фракций количество тиоалканов уменьшается, и во фракциях выше 300 °С они практически отсутствуют.  Некоторых легких средних фракциях нефтей в небольших количествах (менее 15 % от суммарной серы в этих фракциях) найдены дисульфиды  RS</w:t>
      </w:r>
      <w:r w:rsidRPr="00AE0D8C">
        <w:rPr>
          <w:rFonts w:ascii="Times New Roman" w:hAnsi="Times New Roman"/>
          <w:sz w:val="24"/>
          <w:szCs w:val="24"/>
          <w:lang w:val="en-US"/>
        </w:rPr>
        <w:t>SR</w:t>
      </w:r>
      <w:r w:rsidRPr="00AE0D8C">
        <w:rPr>
          <w:rFonts w:ascii="Times New Roman" w:hAnsi="Times New Roman"/>
          <w:sz w:val="24"/>
          <w:szCs w:val="24"/>
        </w:rPr>
        <w:t xml:space="preserve"> '. При нагревании они образуют серу, сероводород и меркаптаны.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Моноциклические сульфиды представляют собой пяти- или шестичленные гетероциклы с атомом серы. Кроме того, в нефтях идентифицированы полициклические сульфиды и их разнообразные гомологи, а также тетра – и пентациклические сульфиды.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средних фракциях многих нефтей преобладают тиоцикланы по сравнению с диалкилсульфидами (табл. 2.1). Среди тиоцикланов, как правило, более распространены моноциклические сульфиды. Полициклические сульфиды при разгонке нефтей преимущественно попадают в масляные фракции и концентрированы в нефтных остатках.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Все серосодержащие соединения нефтей, кроме низкомолекулярных меркаптанов, при низких температурах химически нейтральны и близки по свойствам к аренам. Промышленного применения они пока не нашли из-за низкой эффективности методов их  выделения из нефтей. В ограниченных количества выделяют из средних (керосиновых) фракций некоторых нефтей сульфиды для последующего окисления в сульфоны и сульфокислоты. Сернистые соединения нефтей в настоящее время не извлекают, а уничтожают гидрогенизационными процессами. Образующийся при том сероводород перерабатывают в элементарную серу или серную кислоту. В то же время в последние годы во многих странах мира разрабатываются и интенсивно вводят многотоннажные промышленные процессы по синтезу сернистых соединений, аналогичных нефтям, </w:t>
      </w:r>
    </w:p>
    <w:p w:rsidR="00AE0D8C" w:rsidRPr="00AE0D8C" w:rsidRDefault="00AE0D8C" w:rsidP="00AE0D8C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Таблица 2.1</w:t>
      </w:r>
    </w:p>
    <w:tbl>
      <w:tblPr>
        <w:tblW w:w="0" w:type="auto"/>
        <w:tblLook w:val="01E0"/>
      </w:tblPr>
      <w:tblGrid>
        <w:gridCol w:w="3708"/>
        <w:gridCol w:w="2160"/>
        <w:gridCol w:w="1980"/>
        <w:gridCol w:w="1723"/>
      </w:tblGrid>
      <w:tr w:rsidR="00AE0D8C" w:rsidRPr="00AE0D8C" w:rsidTr="00EA720F">
        <w:tc>
          <w:tcPr>
            <w:tcW w:w="957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/>
                <w:sz w:val="24"/>
                <w:szCs w:val="24"/>
              </w:rPr>
              <w:t>Групповой состав сульфидов во фракциях 190-360 ̊С</w:t>
            </w:r>
          </w:p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/>
                <w:sz w:val="24"/>
                <w:szCs w:val="24"/>
              </w:rPr>
              <w:t>некоторые нефтей России</w:t>
            </w:r>
          </w:p>
        </w:tc>
      </w:tr>
      <w:tr w:rsidR="00AE0D8C" w:rsidRPr="00AE0D8C" w:rsidTr="00EA720F">
        <w:tc>
          <w:tcPr>
            <w:tcW w:w="3708" w:type="dxa"/>
            <w:vMerge w:val="restart"/>
            <w:tcBorders>
              <w:lef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Содержание сульфилов,</w:t>
            </w:r>
          </w:p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% мас.</w:t>
            </w:r>
          </w:p>
        </w:tc>
        <w:tc>
          <w:tcPr>
            <w:tcW w:w="5863" w:type="dxa"/>
            <w:gridSpan w:val="3"/>
            <w:tcBorders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Нефть</w:t>
            </w:r>
          </w:p>
        </w:tc>
      </w:tr>
      <w:tr w:rsidR="00AE0D8C" w:rsidRPr="00AE0D8C" w:rsidTr="00EA720F">
        <w:tc>
          <w:tcPr>
            <w:tcW w:w="3708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Арланская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Сургутская</w:t>
            </w:r>
          </w:p>
        </w:tc>
        <w:tc>
          <w:tcPr>
            <w:tcW w:w="1723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Самотлорская</w:t>
            </w:r>
          </w:p>
        </w:tc>
      </w:tr>
      <w:tr w:rsidR="00AE0D8C" w:rsidRPr="00AE0D8C" w:rsidTr="00EA720F">
        <w:tc>
          <w:tcPr>
            <w:tcW w:w="3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На сумму сульфидов:</w:t>
            </w:r>
          </w:p>
        </w:tc>
        <w:tc>
          <w:tcPr>
            <w:tcW w:w="21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0D8C" w:rsidRPr="00AE0D8C" w:rsidTr="00EA720F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     диалкилсульфиды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14,3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11,7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7,2</w:t>
            </w:r>
          </w:p>
        </w:tc>
      </w:tr>
      <w:tr w:rsidR="00AE0D8C" w:rsidRPr="00AE0D8C" w:rsidTr="00EA720F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     Тиоцикланы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85,7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88,3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92,8</w:t>
            </w:r>
          </w:p>
        </w:tc>
      </w:tr>
      <w:tr w:rsidR="00AE0D8C" w:rsidRPr="00AE0D8C" w:rsidTr="00EA720F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На сумму тиоцикланов: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0D8C" w:rsidRPr="00AE0D8C" w:rsidTr="00EA720F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     моноциклические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AE0D8C" w:rsidRPr="00AE0D8C" w:rsidTr="00EA720F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     бициклические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AE0D8C" w:rsidRPr="00AE0D8C" w:rsidTr="00EA720F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     трициклические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E0D8C" w:rsidRPr="00AE0D8C" w:rsidTr="00EA720F"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     тетрациклические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lastRenderedPageBreak/>
        <w:t xml:space="preserve">имеющим большую народно-хозяйственную ценность. Среди них наибольшее промышленное значение имеют меркаптаны. Метилмеркаптан применяют в производстве метионина – белковой добавки в корм скоту и птице. Этилмеркаптан – одорант топливных газов. Тиолы </w:t>
      </w:r>
      <w:r w:rsidRPr="00AE0D8C">
        <w:rPr>
          <w:rFonts w:ascii="Times New Roman" w:hAnsi="Times New Roman"/>
          <w:position w:val="-10"/>
          <w:sz w:val="24"/>
          <w:szCs w:val="24"/>
        </w:rPr>
        <w:object w:dxaOrig="800" w:dyaOrig="340">
          <v:shape id="_x0000_i1052" type="#_x0000_t75" style="width:39.35pt;height:17.6pt" o:ole="">
            <v:imagedata r:id="rId72" o:title=""/>
          </v:shape>
          <o:OLEObject Type="Embed" ProgID="Equation.3" ShapeID="_x0000_i1052" DrawAspect="Content" ObjectID="_1491745424" r:id="rId73"/>
        </w:object>
      </w:r>
      <w:r w:rsidRPr="00AE0D8C">
        <w:rPr>
          <w:rFonts w:ascii="Times New Roman" w:hAnsi="Times New Roman"/>
          <w:sz w:val="24"/>
          <w:szCs w:val="24"/>
        </w:rPr>
        <w:t xml:space="preserve"> - сырье для синтеза агрохимических веществ, применяются для активации (осернения) некоторых катализаторов в нефтепереработке. Тиолыот бутилмеркаптана до октадецилмеркаптана используют в производстве присадок к смазочным и трансформаторным маслам, к смазочно-охлаждающим эмульсиям, применяемым при холодной обработке металлов, производстве детергентов,  ингредиентов резиновых смесей. Тиолы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859" w:dyaOrig="360">
          <v:shape id="_x0000_i1053" type="#_x0000_t75" style="width:42.7pt;height:18.4pt" o:ole="">
            <v:imagedata r:id="rId74" o:title=""/>
          </v:shape>
          <o:OLEObject Type="Embed" ProgID="Equation.3" ShapeID="_x0000_i1053" DrawAspect="Content" ObjectID="_1491745425" r:id="rId75"/>
        </w:object>
      </w:r>
      <w:r w:rsidRPr="00AE0D8C">
        <w:rPr>
          <w:rFonts w:ascii="Times New Roman" w:hAnsi="Times New Roman"/>
          <w:sz w:val="24"/>
          <w:szCs w:val="24"/>
        </w:rPr>
        <w:t xml:space="preserve"> являются регуляторами радикальных процессов  полимеризации в производстве латексов, каучуков, пластмасс. Среди регуляторов полимеризации наибольшее значение имеют третичный додецилмеркаптан и нормальный додецилмеркаптан. Меркаптаны применяют для синтеза флотореагентов, фотоматериалов, красителей специального назначения, в фармакологии, косметике и многих других областях. Сульфиды служат компонентами при синтезе красителей, продукты их окисления – сульфоксиды, сульфоны и сульфокислоты – используют как эффективные экстрагенты  редких металлов и флотоагенты полиметаллических руд, пластификаторы  биологически активные вещества. Перспективно применение сулфидов и их производных в качестве компонентов ракетных топлив, инсектицидов, фунгицидов, гербицидов, пластификаторов, комплесообразователей и т.д. За последние годы резко возрастает применение полифенилсульфидных полимеров. Они характеризуются хорошей термической стабильностью, сохранять отличные механические характеристики при высоких температурах, великолепной химической стойкостью  совместимостью с различными наполнителями. Твердые покрытия из полифенилсульфида легко наносят на металл, обеспечивая надежную защиту его от коррозии, что уже подхвачено зарубежной нефтехимической промышленностью, где наблюдается полифенилсульфидный «бум». Важно еще подчеркнуть, что в этом полимере почти одна треть массы состоит из серы.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Тиофен и 2-метилтиофен являются эффективными выносителями соединений марганца из карбюраторных двигателей при использовании в качестве антидетонатора циклопентадиениларбонилмарганца. В настоящее время этот антидетонатор широко применяется в США, где около 40 % неэтилированных бензинов содержат несвинцовые антидетонаторы. 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Учитывая наличие значительных ресурсов серосодержащих соединений в нефтях, исключительно актуальной является проблема их извлечения и рационального применения в национальном хозяйстве.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9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2.3.2. АЗОТСОДЕРЖАЩИЕ СОЕДИНЕНИЯ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Во всех нефтях в небольших количествах (менее 1 %) содержится азот в виде соединений, обладающих  основными или нейтральными свойствами. Большая часть концентрируется в высококипящих фракциях и остатках перегонки нефти. Азотистые основания могут быть выделены из нефти обработкой слабой серной кислоты. Их количество составляет в среднем 30-40 % от суммы всех азотистых соединений. 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lastRenderedPageBreak/>
        <w:t>Азотистые основания нефти представляют собой гетероциклические соединение с атомом азота в одном (реже в двух) из колец, с общим числом колец до трех. В основном они являются гомологами пиридина, хинолина и реже акридина.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Нейтральные азотистые соединения составляют большую часть (иногда до 80 %) азотсодержащих соединений нефти. Они представлены гомологами пиррола, бензпиррола – индола и карбазола.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С повышение температуры кипения нефтяных фракций в них увеличивается содержание нейтральных и уменьшается содержание основных азотистых оснований (табл. 2.2).</w:t>
      </w:r>
    </w:p>
    <w:p w:rsidR="00AE0D8C" w:rsidRPr="00AE0D8C" w:rsidRDefault="00AE0D8C" w:rsidP="00AE0D8C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Таблица 2.2</w:t>
      </w:r>
    </w:p>
    <w:tbl>
      <w:tblPr>
        <w:tblW w:w="0" w:type="auto"/>
        <w:tblLook w:val="01E0"/>
      </w:tblPr>
      <w:tblGrid>
        <w:gridCol w:w="2392"/>
        <w:gridCol w:w="2393"/>
        <w:gridCol w:w="2393"/>
        <w:gridCol w:w="2393"/>
      </w:tblGrid>
      <w:tr w:rsidR="00AE0D8C" w:rsidRPr="00AE0D8C" w:rsidTr="00EA720F">
        <w:tc>
          <w:tcPr>
            <w:tcW w:w="957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/>
                <w:sz w:val="24"/>
                <w:szCs w:val="24"/>
              </w:rPr>
              <w:t>Распределение азотистых соединений</w:t>
            </w:r>
          </w:p>
        </w:tc>
      </w:tr>
      <w:tr w:rsidR="00AE0D8C" w:rsidRPr="00AE0D8C" w:rsidTr="00EA720F">
        <w:tc>
          <w:tcPr>
            <w:tcW w:w="2392" w:type="dxa"/>
            <w:vMerge w:val="restart"/>
            <w:tcBorders>
              <w:lef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Фракция</w:t>
            </w:r>
          </w:p>
        </w:tc>
        <w:tc>
          <w:tcPr>
            <w:tcW w:w="2393" w:type="dxa"/>
            <w:vMerge w:val="restart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общ., % мас.</w:t>
            </w:r>
          </w:p>
        </w:tc>
        <w:tc>
          <w:tcPr>
            <w:tcW w:w="4786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% мас, от N общего</w:t>
            </w:r>
          </w:p>
        </w:tc>
      </w:tr>
      <w:tr w:rsidR="00AE0D8C" w:rsidRPr="00AE0D8C" w:rsidTr="00EA720F">
        <w:tc>
          <w:tcPr>
            <w:tcW w:w="2392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N основной</w:t>
            </w:r>
          </w:p>
        </w:tc>
        <w:tc>
          <w:tcPr>
            <w:tcW w:w="2393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N нейтральный</w:t>
            </w:r>
          </w:p>
        </w:tc>
      </w:tr>
      <w:tr w:rsidR="00AE0D8C" w:rsidRPr="00AE0D8C" w:rsidTr="00EA720F">
        <w:tc>
          <w:tcPr>
            <w:tcW w:w="239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Нефть</w:t>
            </w:r>
          </w:p>
        </w:tc>
        <w:tc>
          <w:tcPr>
            <w:tcW w:w="23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0,64</w:t>
            </w:r>
          </w:p>
        </w:tc>
        <w:tc>
          <w:tcPr>
            <w:tcW w:w="23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3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AE0D8C" w:rsidRPr="00AE0D8C" w:rsidTr="00EA720F"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300-350 ̊С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0,04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0D8C" w:rsidRPr="00AE0D8C" w:rsidTr="00EA720F"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350-400 ̊С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0,15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AE0D8C" w:rsidRPr="00AE0D8C" w:rsidTr="00EA720F"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450-500 ̊С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0,49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AE0D8C" w:rsidRPr="00AE0D8C" w:rsidTr="00EA720F">
        <w:tc>
          <w:tcPr>
            <w:tcW w:w="239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˃ 500 ̊С</w:t>
            </w:r>
          </w:p>
        </w:tc>
        <w:tc>
          <w:tcPr>
            <w:tcW w:w="239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1,03</w:t>
            </w:r>
          </w:p>
        </w:tc>
        <w:tc>
          <w:tcPr>
            <w:tcW w:w="239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393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</w:tbl>
    <w:p w:rsidR="00AE0D8C" w:rsidRPr="00AE0D8C" w:rsidRDefault="00AE0D8C" w:rsidP="00AE0D8C">
      <w:pPr>
        <w:ind w:firstLine="709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В кислотных экстрактах газойлевых фракций обнаружены гомологи пирролхинолина и карбазолхинолина, содержащие по два атома азота, один из которых имеет основную функцию, а другой нейтрален. </w:t>
      </w:r>
    </w:p>
    <w:p w:rsidR="00AE0D8C" w:rsidRPr="00AE0D8C" w:rsidRDefault="00AE0D8C" w:rsidP="00AE0D8C">
      <w:pPr>
        <w:ind w:firstLine="709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 </w:t>
      </w:r>
      <w:r w:rsidRPr="00AE0D8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866515" cy="2344420"/>
            <wp:effectExtent l="19050" t="0" r="635" b="0"/>
            <wp:docPr id="39" name="Рисунок 3" descr="1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1113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515" cy="234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Теоретический интерес, с точки зрения генезиса нефти, представляет обнаружение производных аминокислот (содержат карбоксильные  аминогруппы, являются исходным материалом в растениях при биосинтезе гормонов, витаминов, пигментов и др.) и порфиринов, входящих в состав гемоглобинов, хлорофиллов, витаминов и др., участвующих в биологических процессах. Порфирины содержат в молекуле четыре пиррольных кольца и встречаются в нефтях в виде комплексов металлов – ванадия и никеля. Установлено, что они обладают каталитической активностью, сравнительно легко выделяются из нефти экстракцией таким полярным растворителем, как ацетонитрил, пиридин, диметилформамид и др.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lastRenderedPageBreak/>
        <w:t>Как основные, так и нейтральные азотистые соединения достаточно термически стабильны и не оказывают заметного влияния эксплуатационные качества нефтепродуктов. Азотистые основания используются как дезинфицирующие средства, ингибиторы коррозии, сильные растворители, добавки к смазочным маслам и битумам, антиокислители и т. д. Однако в процессах переработки нефтяного сырья проявляют отрицательные свойства – снижают активность катализаторов, вызывают осмолоение и потемнение нефтепродуктов.</w:t>
      </w:r>
    </w:p>
    <w:p w:rsidR="00AE0D8C" w:rsidRPr="00AE0D8C" w:rsidRDefault="00AE0D8C" w:rsidP="00AE0D8C">
      <w:pPr>
        <w:ind w:firstLine="709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9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2.3.3. КИСЛОРОДСОДЕРЖАЩИЕ СОЕДИНЕНИЯ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Основная часть кислорода нефтей входит в состав асфальто-смолистых веществ и только около 10 % его приходится на долю кислых (нефтяные кислоты и фенолы) и нейтральные (сложные эфиры, кетоны) кислородсодержащих соединений. Они сосредоточены преимущественно в высококипящих фракциях. Нефтяные кислоты (</w:t>
      </w:r>
      <w:r w:rsidRPr="00AE0D8C">
        <w:rPr>
          <w:rFonts w:ascii="Times New Roman" w:hAnsi="Times New Roman"/>
          <w:bCs/>
          <w:color w:val="000000"/>
          <w:position w:val="-10"/>
          <w:sz w:val="24"/>
          <w:szCs w:val="24"/>
        </w:rPr>
        <w:object w:dxaOrig="1340" w:dyaOrig="340">
          <v:shape id="_x0000_i1075" type="#_x0000_t75" style="width:67pt;height:16.75pt" o:ole="">
            <v:imagedata r:id="rId77" o:title=""/>
          </v:shape>
          <o:OLEObject Type="Embed" ProgID="Equation.3" ShapeID="_x0000_i1075" DrawAspect="Content" ObjectID="_1491745426" r:id="rId78"/>
        </w:objec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t>) представлены в основном циклопентан- и циклогексанкарбоновыми (нафтеновыми) кислотами и кислотами смешенной нафтеноароматической структуры. Из нефтяных фенолов идентифицированы фенол (</w:t>
      </w:r>
      <w:r w:rsidRPr="00AE0D8C">
        <w:rPr>
          <w:rFonts w:ascii="Times New Roman" w:hAnsi="Times New Roman"/>
          <w:bCs/>
          <w:color w:val="000000"/>
          <w:position w:val="-12"/>
          <w:sz w:val="24"/>
          <w:szCs w:val="24"/>
        </w:rPr>
        <w:object w:dxaOrig="940" w:dyaOrig="360">
          <v:shape id="_x0000_i1076" type="#_x0000_t75" style="width:46.9pt;height:18.4pt" o:ole="">
            <v:imagedata r:id="rId79" o:title=""/>
          </v:shape>
          <o:OLEObject Type="Embed" ProgID="Equation.3" ShapeID="_x0000_i1076" DrawAspect="Content" ObjectID="_1491745427" r:id="rId80"/>
        </w:objec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t>), крезол (</w:t>
      </w:r>
      <w:r w:rsidRPr="00AE0D8C">
        <w:rPr>
          <w:rFonts w:ascii="Times New Roman" w:hAnsi="Times New Roman"/>
          <w:bCs/>
          <w:color w:val="000000"/>
          <w:position w:val="-12"/>
          <w:sz w:val="24"/>
          <w:szCs w:val="24"/>
        </w:rPr>
        <w:object w:dxaOrig="1380" w:dyaOrig="360">
          <v:shape id="_x0000_i1077" type="#_x0000_t75" style="width:68.65pt;height:18.4pt" o:ole="">
            <v:imagedata r:id="rId81" o:title=""/>
          </v:shape>
          <o:OLEObject Type="Embed" ProgID="Equation.3" ShapeID="_x0000_i1077" DrawAspect="Content" ObjectID="_1491745428" r:id="rId82"/>
        </w:objec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t>), ксиленолы (</w:t>
      </w:r>
      <w:r w:rsidRPr="00AE0D8C">
        <w:rPr>
          <w:rFonts w:ascii="Times New Roman" w:hAnsi="Times New Roman"/>
          <w:bCs/>
          <w:color w:val="000000"/>
          <w:position w:val="-12"/>
          <w:sz w:val="24"/>
          <w:szCs w:val="24"/>
        </w:rPr>
        <w:object w:dxaOrig="1660" w:dyaOrig="360">
          <v:shape id="_x0000_i1078" type="#_x0000_t75" style="width:82.9pt;height:18.4pt" o:ole="">
            <v:imagedata r:id="rId83" o:title=""/>
          </v:shape>
          <o:OLEObject Type="Embed" ProgID="Equation.3" ShapeID="_x0000_i1078" DrawAspect="Content" ObjectID="_1491745429" r:id="rId84"/>
        </w:objec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t>) и их производные.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bCs/>
          <w:color w:val="000000"/>
          <w:sz w:val="24"/>
          <w:szCs w:val="24"/>
        </w:rPr>
        <w:t>Из бензиновой фракции некоторых нефтей выделены ацетон, метилэтил-, метипропил-, метилизопропил-, метилбутил- и этилизопропил кетоны  некоторых другие кетоны RC</w:t>
      </w:r>
      <w:r w:rsidRPr="00AE0D8C">
        <w:rPr>
          <w:rFonts w:ascii="Times New Roman" w:hAnsi="Times New Roman"/>
          <w:bCs/>
          <w:color w:val="000000"/>
          <w:sz w:val="24"/>
          <w:szCs w:val="24"/>
          <w:lang w:val="en-US"/>
        </w:rPr>
        <w:t>O</w: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t>R</w:t>
      </w:r>
      <w:r w:rsidRPr="00AE0D8C">
        <w:rPr>
          <w:rFonts w:ascii="Times New Roman" w:hAnsi="Times New Roman"/>
          <w:sz w:val="24"/>
          <w:szCs w:val="24"/>
        </w:rPr>
        <w:t xml:space="preserve"> '.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средних и высококипящих фракциях нефти обнаружены</w:t>
      </w:r>
      <w:r w:rsidRPr="00AE0D8C">
        <w:rPr>
          <w:rFonts w:ascii="Times New Roman" w:hAnsi="Times New Roman"/>
          <w:bCs/>
          <w:color w:val="000000"/>
          <w:sz w:val="24"/>
          <w:szCs w:val="24"/>
        </w:rPr>
        <w:t xml:space="preserve">  циклические кетоны типа флуорена, сложные эфиры (ACOR , где АС – остаток нефтяных кислот) и высокомолекулярные простые эфиры (R</w:t>
      </w:r>
      <w:r w:rsidRPr="00AE0D8C">
        <w:rPr>
          <w:rFonts w:ascii="Times New Roman" w:hAnsi="Times New Roman"/>
          <w:sz w:val="24"/>
          <w:szCs w:val="24"/>
        </w:rPr>
        <w:t xml:space="preserve"> '</w:t>
      </w:r>
      <w:r w:rsidRPr="00AE0D8C">
        <w:rPr>
          <w:rFonts w:ascii="Times New Roman" w:hAnsi="Times New Roman"/>
          <w:sz w:val="24"/>
          <w:szCs w:val="24"/>
          <w:lang w:val="en-US"/>
        </w:rPr>
        <w:t>OR</w:t>
      </w:r>
      <w:r w:rsidRPr="00AE0D8C">
        <w:rPr>
          <w:rFonts w:ascii="Times New Roman" w:hAnsi="Times New Roman"/>
          <w:sz w:val="24"/>
          <w:szCs w:val="24"/>
        </w:rPr>
        <w:t>) как алифатической, так и циклической структур, например типа бензофуранов, обнаруженных в высококипящих фракциях и остатках.</w:t>
      </w:r>
    </w:p>
    <w:p w:rsidR="00AE0D8C" w:rsidRPr="00AE0D8C" w:rsidRDefault="00AE0D8C" w:rsidP="00AE0D8C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276475" cy="972820"/>
            <wp:effectExtent l="19050" t="0" r="9525" b="0"/>
            <wp:docPr id="44" name="Рисунок 2" descr="1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114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97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бензиновых фракциях нефтей встречаются в малых количествах только алифатические кислоты нормального и слаборазветвленного строения. По мере повышения температуры кипения их фракций в них появляются алифатические кислоты сильноразветвленной структуры, например изопреноиодного типа, а также нафтеновые кислоты. Последние составляют основную долю (до 90 %) от всех кислородсодержащих соединений в средних  и масляных фракциях. Наиболее богаты ими бакинские, грозненские, эмбенские, сахалинские и бориславские нефти (содержание их достигает до 1,7 % мас.). Содержание фенолов в нефтях незначительно (до 0,1 мас.).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Промышленное значение из всех кислородсодержащих соединений нефти имеют только нафтеновые кислоты и их соли – нафтенаты, обладающие хорошими моющими свойствами. Поэтому отходы щелочной очистки нефтяных дистиллятов – так называемый мылонафт – используется при изготовлении моющих средств для текстильного производства.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lastRenderedPageBreak/>
        <w:t>Технические нефтяные кислоты (асидол), выделяемые из керосиновых и масляных дистиллятов, находят применение в качестве растворителей смол, каучука и анилиновых красителей; для пропитки шпал; для смачивания шерсти; при изготовлении цветных лаков и др. Натриевые и калиевые соли нафтеновых кислот служат в качестве деэмульгаторов при обезвоживании нефти. Нафтенаты кальция и алюминия являются загустителями консистентных смазок, а соли кальция и цинка являются диспергирующими присадками к моторным маслам. Соли меди защищают древесину и текстиль от бактериального разложения.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9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 xml:space="preserve">2.4. СМОЛИСТО-АСФАЛЬТЕНОВЫЕ ВЕЩЕСТВА </w:t>
      </w:r>
    </w:p>
    <w:p w:rsidR="00AE0D8C" w:rsidRPr="00AE0D8C" w:rsidRDefault="00AE0D8C" w:rsidP="00AE0D8C">
      <w:pPr>
        <w:ind w:firstLine="709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В НЕФТЯХ И НЕФТЯНЫХ ОСТАТКАХ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Смолисто-асфальтеновые вещества (САВ) концентрируются в тяжелых нефтяных остатках (ТНО) – мазутах, полугудронах, гудронах, битумах, крекинг-остатках и др. Суммарное содержание САВ в нефтях в зависимости от их типа и плотности колеблется от долей процентов до 45%, а в ТНО – достигает до 70% мас. Наиболее богаты САВ молодые нефти нафтено-ароматического и ароматического типа. Таковые нефти Казахстана, Средней Азии, Башкирии, Республики Коми и др. Парафиновые нефти – марковская, доссорская, сураханская, бибиэйбатская и некоторые другие – совсем не содержат асфальтенов, а содержание смол составляет менее 4 % мас.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САВ представляет собой сложную многокомпонентную исключительно полидисперсную по молекулярной массе смесь высокомолекулярных углеводородов и гетеросоединений, включающих, кроме углерода и водорода, серу, азот, кислород и металлы, такие как ванадий, никель, железо, молибден и т.д. Выделение индивидуальных САВ из нефтей и ТНО исключительно сложно. Молекулярная структура их до сих пор точно не установлена. Современный знаний и возможности инструментальных физико-химических методов исследований (например, n-d-M-метод, ренгтеноструктурная, ЭПР- и ЯМР-спектроскопия, электронная микроскопия, растворимость и т.д.) позволяют лишь дать вероятностное представление о структурной организации, установить количество конденсированных нафтено-ароматических и других характеристик и построить среднестатистические модели гипотетических молекул смол и асфальтенов.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практике исследования состава и строения нефтяных, угле- и коксохимических остатков широко используется сольвентный способ Ричардсона, основанный на различной растворимости групповых компонентов в органических растворителях (слабых, средних и сильных). По этому признаку различают следующие условные групповые компоненты: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1) Растворимые в низкомолекулярных (слабых) растворителях (изооктане, петролейном эфире) – масла и смолы (мальтены или </w:t>
      </w:r>
      <w:r w:rsidRPr="00AE0D8C">
        <w:rPr>
          <w:rFonts w:ascii="Times New Roman" w:hAnsi="Times New Roman"/>
          <w:position w:val="-10"/>
          <w:sz w:val="24"/>
          <w:szCs w:val="24"/>
        </w:rPr>
        <w:object w:dxaOrig="200" w:dyaOrig="260">
          <v:shape id="_x0000_i1054" type="#_x0000_t75" style="width:10.05pt;height:12.55pt" o:ole="">
            <v:imagedata r:id="rId86" o:title=""/>
          </v:shape>
          <o:OLEObject Type="Embed" ProgID="Equation.3" ShapeID="_x0000_i1054" DrawAspect="Content" ObjectID="_1491745430" r:id="rId87"/>
        </w:object>
      </w:r>
      <w:r w:rsidRPr="00AE0D8C">
        <w:rPr>
          <w:rFonts w:ascii="Times New Roman" w:hAnsi="Times New Roman"/>
          <w:sz w:val="24"/>
          <w:szCs w:val="24"/>
        </w:rPr>
        <w:t>-фракция в коксохимии). Смолы извлекают из мальтенов в адсорбционной хроматографией (на силикагеле или оксиде алюминия);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2) Нерастворимые в низкомолекулярных алканах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780" w:dyaOrig="360">
          <v:shape id="_x0000_i1079" type="#_x0000_t75" style="width:38.5pt;height:18.4pt" o:ole="">
            <v:imagedata r:id="rId88" o:title=""/>
          </v:shape>
          <o:OLEObject Type="Embed" ProgID="Equation.3" ShapeID="_x0000_i1079" DrawAspect="Content" ObjectID="_1491745431" r:id="rId89"/>
        </w:object>
      </w:r>
      <w:r w:rsidRPr="00AE0D8C">
        <w:rPr>
          <w:rFonts w:ascii="Times New Roman" w:hAnsi="Times New Roman"/>
          <w:sz w:val="24"/>
          <w:szCs w:val="24"/>
        </w:rPr>
        <w:t xml:space="preserve">, растворимые в бензоле, толуоле, четыреххлористом углероде – асфальтены (или </w:t>
      </w:r>
      <w:r w:rsidRPr="00AE0D8C">
        <w:rPr>
          <w:rFonts w:ascii="Times New Roman" w:hAnsi="Times New Roman"/>
          <w:position w:val="-10"/>
          <w:sz w:val="24"/>
          <w:szCs w:val="24"/>
        </w:rPr>
        <w:object w:dxaOrig="240" w:dyaOrig="320">
          <v:shape id="_x0000_i1055" type="#_x0000_t75" style="width:11.7pt;height:15.9pt" o:ole="">
            <v:imagedata r:id="rId90" o:title=""/>
          </v:shape>
          <o:OLEObject Type="Embed" ProgID="Equation.3" ShapeID="_x0000_i1055" DrawAspect="Content" ObjectID="_1491745432" r:id="rId91"/>
        </w:object>
      </w:r>
      <w:r w:rsidRPr="00AE0D8C">
        <w:rPr>
          <w:rFonts w:ascii="Times New Roman" w:hAnsi="Times New Roman"/>
          <w:sz w:val="24"/>
          <w:szCs w:val="24"/>
        </w:rPr>
        <w:t>-фракция);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lastRenderedPageBreak/>
        <w:t xml:space="preserve">3) Нерастворимые в бензоле, толуоле, четыреххлористом углероде, но растворимые в сероуглероде и хинолине – карбены (или </w:t>
      </w:r>
      <w:r w:rsidRPr="00AE0D8C">
        <w:rPr>
          <w:rFonts w:ascii="Times New Roman" w:hAnsi="Times New Roman"/>
          <w:position w:val="-10"/>
          <w:sz w:val="24"/>
          <w:szCs w:val="24"/>
        </w:rPr>
        <w:object w:dxaOrig="300" w:dyaOrig="340">
          <v:shape id="_x0000_i1056" type="#_x0000_t75" style="width:15.05pt;height:17.6pt" o:ole="">
            <v:imagedata r:id="rId92" o:title=""/>
          </v:shape>
          <o:OLEObject Type="Embed" ProgID="Equation.3" ShapeID="_x0000_i1056" DrawAspect="Content" ObjectID="_1491745433" r:id="rId93"/>
        </w:object>
      </w:r>
      <w:r w:rsidRPr="00AE0D8C">
        <w:rPr>
          <w:rFonts w:ascii="Times New Roman" w:hAnsi="Times New Roman"/>
          <w:sz w:val="24"/>
          <w:szCs w:val="24"/>
        </w:rPr>
        <w:t>-фракция);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4) Нерастворимые ни в каких основаниях – карбоиды (или </w:t>
      </w:r>
      <w:r w:rsidRPr="00AE0D8C">
        <w:rPr>
          <w:rFonts w:ascii="Times New Roman" w:hAnsi="Times New Roman"/>
          <w:position w:val="-10"/>
          <w:sz w:val="24"/>
          <w:szCs w:val="24"/>
        </w:rPr>
        <w:object w:dxaOrig="279" w:dyaOrig="340">
          <v:shape id="_x0000_i1057" type="#_x0000_t75" style="width:14.25pt;height:17.6pt" o:ole="">
            <v:imagedata r:id="rId94" o:title=""/>
          </v:shape>
          <o:OLEObject Type="Embed" ProgID="Equation.3" ShapeID="_x0000_i1057" DrawAspect="Content" ObjectID="_1491745434" r:id="rId95"/>
        </w:object>
      </w:r>
      <w:r w:rsidRPr="00AE0D8C">
        <w:rPr>
          <w:rFonts w:ascii="Times New Roman" w:hAnsi="Times New Roman"/>
          <w:sz w:val="24"/>
          <w:szCs w:val="24"/>
        </w:rPr>
        <w:t>-фракция),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нефтях и нативных ТНО (т. е. не подвергнутых термодеструктивному воздействию) карбены и карбоиды отсутствуют. Под термином «масла» принято подразумевать высокомолекулярные углеводороды с молекулярной массой 300-500 смешанного (гибридного) строения. Методом хроматографического разделения из масляных фракций выделяют парафино-нафтеновые и ароматические углеводороды, в т. ч. легкие (моноциклические), средние (бициклические) и полициклические (три и более циклические). Наиболее важное значение представляют смолы и асфальтены, которые часто называют коксообразующими компонентами, и создают сложные технологические проблемы при перерабтке ТНО. Смолы – вязкие малоподвижные жидкости или аморфные твердые тела от темно-коричневого до темно-бурого цвета с плотностью около единицы или несколько больше. Они представляют собой плоскоконденсированные системы, содержащие пять-шесть колец ароматического, нафтненового и гетероциклического строения, соединения посредством алифатических структур. Асфальтены – аморфные, но кристаллоподобной структуры твердые тела темно-бурого или черного цвета с плотностью несколько больше единицы. При нагревании  не плавятся, а переходят в пластическое состояние при температуре  около 300°С, а при более высокой температуре разлагаются с образованием газообразных и жидких веществ и твердого остатка – кокса. Они в отличие от смол образуют пространственные в большей степени конденсированные кристаллические структуры. Наиболее существенные отличия смол и асфальтенов проявляются по таким показателям, как растворимость в низкомолекулярных алканах, отношение С:Н, молекулярная масса, концентрация парамагнитных центров и степень ароматичности: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AE0D8C" w:rsidRPr="00AE0D8C" w:rsidTr="00AE0D8C">
        <w:tc>
          <w:tcPr>
            <w:tcW w:w="3190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E0D8C">
              <w:rPr>
                <w:rFonts w:ascii="Times New Roman" w:hAnsi="Times New Roman"/>
                <w:i/>
                <w:sz w:val="24"/>
                <w:szCs w:val="24"/>
              </w:rPr>
              <w:t>Показатель</w:t>
            </w:r>
          </w:p>
        </w:tc>
        <w:tc>
          <w:tcPr>
            <w:tcW w:w="3190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i/>
                <w:sz w:val="24"/>
                <w:szCs w:val="24"/>
              </w:rPr>
              <w:t>Смолы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E0D8C">
              <w:rPr>
                <w:rFonts w:ascii="Times New Roman" w:hAnsi="Times New Roman"/>
                <w:i/>
                <w:sz w:val="24"/>
                <w:szCs w:val="24"/>
              </w:rPr>
              <w:t xml:space="preserve">Асфальтены </w:t>
            </w:r>
          </w:p>
        </w:tc>
      </w:tr>
      <w:tr w:rsidR="00AE0D8C" w:rsidRPr="00AE0D8C" w:rsidTr="00AE0D8C">
        <w:tc>
          <w:tcPr>
            <w:tcW w:w="6380" w:type="dxa"/>
            <w:gridSpan w:val="2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1. Растворимость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Не растворяются</w:t>
            </w:r>
          </w:p>
        </w:tc>
      </w:tr>
      <w:tr w:rsidR="00AE0D8C" w:rsidRPr="00AE0D8C" w:rsidTr="00AE0D8C">
        <w:tc>
          <w:tcPr>
            <w:tcW w:w="6380" w:type="dxa"/>
            <w:gridSpan w:val="2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   в алканах </w:t>
            </w:r>
            <w:r w:rsidRPr="00AE0D8C">
              <w:rPr>
                <w:rFonts w:ascii="Times New Roman" w:hAnsi="Times New Roman"/>
                <w:position w:val="-12"/>
                <w:sz w:val="24"/>
                <w:szCs w:val="24"/>
              </w:rPr>
              <w:object w:dxaOrig="300" w:dyaOrig="360">
                <v:shape id="_x0000_i1058" type="#_x0000_t75" style="width:15.05pt;height:18.4pt" o:ole="">
                  <v:imagedata r:id="rId96" o:title=""/>
                </v:shape>
                <o:OLEObject Type="Embed" ProgID="Equation.3" ShapeID="_x0000_i1058" DrawAspect="Content" ObjectID="_1491745435" r:id="rId97"/>
              </w:object>
            </w: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AE0D8C">
              <w:rPr>
                <w:rFonts w:ascii="Times New Roman" w:hAnsi="Times New Roman"/>
                <w:position w:val="-12"/>
                <w:sz w:val="24"/>
                <w:szCs w:val="24"/>
              </w:rPr>
              <w:object w:dxaOrig="320" w:dyaOrig="360">
                <v:shape id="_x0000_i1059" type="#_x0000_t75" style="width:15.9pt;height:18.4pt" o:ole="">
                  <v:imagedata r:id="rId98" o:title=""/>
                </v:shape>
                <o:OLEObject Type="Embed" ProgID="Equation.3" ShapeID="_x0000_i1059" DrawAspect="Content" ObjectID="_1491745436" r:id="rId99"/>
              </w:object>
            </w: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…...…………….Растворяются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9-11</w:t>
            </w:r>
          </w:p>
        </w:tc>
      </w:tr>
      <w:tr w:rsidR="00AE0D8C" w:rsidRPr="00AE0D8C" w:rsidTr="00AE0D8C">
        <w:tc>
          <w:tcPr>
            <w:tcW w:w="6380" w:type="dxa"/>
            <w:gridSpan w:val="2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2. Массовое соотношение С : Н ………………..7-9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1,0-1,3</w:t>
            </w:r>
          </w:p>
        </w:tc>
      </w:tr>
      <w:tr w:rsidR="00AE0D8C" w:rsidRPr="00AE0D8C" w:rsidTr="00AE0D8C">
        <w:tc>
          <w:tcPr>
            <w:tcW w:w="6380" w:type="dxa"/>
            <w:gridSpan w:val="2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   Мольное соотношение Н : С …………….1,3-1,5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1800-2500</w:t>
            </w:r>
          </w:p>
        </w:tc>
      </w:tr>
      <w:tr w:rsidR="00AE0D8C" w:rsidRPr="00AE0D8C" w:rsidTr="00AE0D8C">
        <w:tc>
          <w:tcPr>
            <w:tcW w:w="6380" w:type="dxa"/>
            <w:gridSpan w:val="2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3. Молекулярная масса …………………..400-1800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0D8C" w:rsidRPr="00AE0D8C" w:rsidTr="00AE0D8C">
        <w:tc>
          <w:tcPr>
            <w:tcW w:w="6380" w:type="dxa"/>
            <w:gridSpan w:val="2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4. Концентрация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0D8C" w:rsidRPr="00AE0D8C" w:rsidTr="00AE0D8C">
        <w:tc>
          <w:tcPr>
            <w:tcW w:w="6380" w:type="dxa"/>
            <w:gridSpan w:val="2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   парамагнитных  центров, </w:t>
            </w:r>
            <w:r w:rsidRPr="00AE0D8C">
              <w:rPr>
                <w:rFonts w:ascii="Times New Roman" w:hAnsi="Times New Roman"/>
                <w:position w:val="-6"/>
                <w:sz w:val="24"/>
                <w:szCs w:val="24"/>
              </w:rPr>
              <w:object w:dxaOrig="360" w:dyaOrig="320">
                <v:shape id="_x0000_i1060" type="#_x0000_t75" style="width:18.4pt;height:15.9pt" o:ole="">
                  <v:imagedata r:id="rId100" o:title=""/>
                </v:shape>
                <o:OLEObject Type="Embed" ProgID="Equation.3" ShapeID="_x0000_i1060" DrawAspect="Content" ObjectID="_1491745437" r:id="rId101"/>
              </w:object>
            </w: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…Незначительная 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position w:val="-6"/>
                <w:sz w:val="24"/>
                <w:szCs w:val="24"/>
              </w:rPr>
              <w:object w:dxaOrig="1060" w:dyaOrig="320">
                <v:shape id="_x0000_i1061" type="#_x0000_t75" style="width:53.6pt;height:15.9pt" o:ole="">
                  <v:imagedata r:id="rId102" o:title=""/>
                </v:shape>
                <o:OLEObject Type="Embed" ProgID="Equation.3" ShapeID="_x0000_i1061" DrawAspect="Content" ObjectID="_1491745438" r:id="rId103"/>
              </w:object>
            </w:r>
          </w:p>
        </w:tc>
      </w:tr>
      <w:tr w:rsidR="00AE0D8C" w:rsidRPr="00AE0D8C" w:rsidTr="00AE0D8C">
        <w:tc>
          <w:tcPr>
            <w:tcW w:w="6380" w:type="dxa"/>
            <w:gridSpan w:val="2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5. Степень ароматичности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0D8C" w:rsidRPr="00AE0D8C" w:rsidTr="00AE0D8C">
        <w:tc>
          <w:tcPr>
            <w:tcW w:w="6380" w:type="dxa"/>
            <w:gridSpan w:val="2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6. Число конденсированных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0D8C" w:rsidRPr="00AE0D8C" w:rsidTr="00AE0D8C">
        <w:tc>
          <w:tcPr>
            <w:tcW w:w="6380" w:type="dxa"/>
            <w:gridSpan w:val="2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 xml:space="preserve">     колец …………………………………………1-4</w:t>
            </w:r>
          </w:p>
        </w:tc>
        <w:tc>
          <w:tcPr>
            <w:tcW w:w="3191" w:type="dxa"/>
            <w:shd w:val="clear" w:color="auto" w:fill="auto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7-12</w:t>
            </w:r>
          </w:p>
        </w:tc>
      </w:tr>
    </w:tbl>
    <w:p w:rsidR="00AE0D8C" w:rsidRPr="00AE0D8C" w:rsidRDefault="00AE0D8C" w:rsidP="00AE0D8C">
      <w:pPr>
        <w:ind w:firstLine="709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Смолы образуют истинные растворы в маслах и топливных дистиллятах, а асфальтены в ТНО находятся в коллоидном состоянии. Растворителем для асфальтенов в нефтях являются ароматические углеводороды и смолы. Благодаря межмолекулярным взаимодействиям асфальтены могут образовывать ассоциаты – надмолекулярные структуры. На степень их ассоциации сильно влияет среда. Так, при низких концентрациях в бензоле и нафталине( мене 2 и 16 % соответственно) асфальтены находятся в молекулярном состоянии. При более высоких значениях концентрации в растворе формируются ассоциаты, состоящие из множества молекул. </w:t>
      </w:r>
      <w:r w:rsidRPr="00AE0D8C">
        <w:rPr>
          <w:rFonts w:ascii="Times New Roman" w:hAnsi="Times New Roman"/>
          <w:sz w:val="24"/>
          <w:szCs w:val="24"/>
        </w:rPr>
        <w:lastRenderedPageBreak/>
        <w:t xml:space="preserve">Именно способностью к ассоциатообразованию обусловливается разнобой на 1-2 порядка в результатах определения молекулярной массы асфальтенов в зависимости от метода ее определения. 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Строение, состав и свойства асфальтенов существенно зависят от происхождения ТНО. Так, асфальтены из остатков деструктивного происхождения характеризуются по сравнению с нативными «рыхлыми» асфальтенами меньшей молекулярной массой, преимущественной конденсированностью в плоскости, меньшим количеством и длиной алифатических структур и в связи с этим большей компактностью ( и обладают меньшей вязкостью).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Соотношение смол к асфальтенам в нефтях и ТНО колеблется в широки пределах – (7-9) : 1 в остатках прямой перегонки, (1-7) : 1 – в окисленных остатках (битумах).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ТНО термодеструктивных процессов появляются карбены и карбоиды. Считается, что карбены – линейные полимеры асфальтеновых молекул с молекулярной массой (100-185) тыс., растворимые лишь в сероуглероде и хинолине. Карбоиды являются сшитым трехмерным полимером (кристаллитом), вследствие чего они не растворимы ни в одном из известных органических растворителей.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Ниже в табл. 2.3 приводим элементарный состав нативных смол и асфальтенов, выделяемых из нефтей известных месторождений России.</w:t>
      </w:r>
    </w:p>
    <w:p w:rsidR="00AE0D8C" w:rsidRPr="00AE0D8C" w:rsidRDefault="00AE0D8C" w:rsidP="00AE0D8C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Таблица 2.3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784"/>
        <w:gridCol w:w="784"/>
        <w:gridCol w:w="784"/>
        <w:gridCol w:w="785"/>
        <w:gridCol w:w="784"/>
        <w:gridCol w:w="784"/>
        <w:gridCol w:w="785"/>
        <w:gridCol w:w="784"/>
        <w:gridCol w:w="784"/>
        <w:gridCol w:w="785"/>
      </w:tblGrid>
      <w:tr w:rsidR="00AE0D8C" w:rsidRPr="00AE0D8C" w:rsidTr="00AE0D8C">
        <w:tc>
          <w:tcPr>
            <w:tcW w:w="9571" w:type="dxa"/>
            <w:gridSpan w:val="11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/>
                <w:sz w:val="24"/>
                <w:szCs w:val="24"/>
              </w:rPr>
              <w:t>Элементарный состав нативных смол и асфальтенов</w:t>
            </w:r>
          </w:p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0D8C">
              <w:rPr>
                <w:rFonts w:ascii="Times New Roman" w:hAnsi="Times New Roman"/>
                <w:b/>
                <w:sz w:val="24"/>
                <w:szCs w:val="24"/>
              </w:rPr>
              <w:t>некоторых нефтей России, % мас.</w:t>
            </w:r>
          </w:p>
        </w:tc>
      </w:tr>
      <w:tr w:rsidR="00AE0D8C" w:rsidRPr="00AE0D8C" w:rsidTr="00AE0D8C">
        <w:tc>
          <w:tcPr>
            <w:tcW w:w="1728" w:type="dxa"/>
            <w:vMerge w:val="restart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нефть</w:t>
            </w:r>
          </w:p>
        </w:tc>
        <w:tc>
          <w:tcPr>
            <w:tcW w:w="3921" w:type="dxa"/>
            <w:gridSpan w:val="5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Смолы</w:t>
            </w:r>
          </w:p>
        </w:tc>
        <w:tc>
          <w:tcPr>
            <w:tcW w:w="3922" w:type="dxa"/>
            <w:gridSpan w:val="5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Асфальтены</w:t>
            </w:r>
          </w:p>
        </w:tc>
      </w:tr>
      <w:tr w:rsidR="00AE0D8C" w:rsidRPr="00AE0D8C" w:rsidTr="00AE0D8C">
        <w:tc>
          <w:tcPr>
            <w:tcW w:w="1728" w:type="dxa"/>
            <w:vMerge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</w:p>
        </w:tc>
      </w:tr>
      <w:tr w:rsidR="00AE0D8C" w:rsidRPr="00AE0D8C" w:rsidTr="00AE0D8C">
        <w:tc>
          <w:tcPr>
            <w:tcW w:w="1728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Бавлинская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  <w:lang w:val="en-US"/>
              </w:rPr>
              <w:t>84,52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9,48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2,60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0,69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2,76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83,50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7,76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3,78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1,15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3,81</w:t>
            </w:r>
          </w:p>
        </w:tc>
      </w:tr>
      <w:tr w:rsidR="00AE0D8C" w:rsidRPr="00AE0D8C" w:rsidTr="00AE0D8C">
        <w:tc>
          <w:tcPr>
            <w:tcW w:w="1728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Ромашкинская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81,91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9,38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8,70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83,66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7,87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4,52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1,19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2,76</w:t>
            </w:r>
          </w:p>
        </w:tc>
      </w:tr>
      <w:tr w:rsidR="00AE0D8C" w:rsidRPr="00AE0D8C" w:rsidTr="00AE0D8C">
        <w:tc>
          <w:tcPr>
            <w:tcW w:w="1728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Туймазинская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84,10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9,80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4,00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2,70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2,70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84,40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7,87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4,45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1,24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2,04</w:t>
            </w:r>
          </w:p>
        </w:tc>
      </w:tr>
      <w:tr w:rsidR="00AE0D8C" w:rsidRPr="00AE0D8C" w:rsidTr="00AE0D8C">
        <w:tc>
          <w:tcPr>
            <w:tcW w:w="1728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самотлорская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9,68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2,02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1,60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3,16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9,19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1,76</w:t>
            </w:r>
          </w:p>
        </w:tc>
        <w:tc>
          <w:tcPr>
            <w:tcW w:w="784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1,69</w:t>
            </w:r>
          </w:p>
        </w:tc>
        <w:tc>
          <w:tcPr>
            <w:tcW w:w="785" w:type="dxa"/>
            <w:shd w:val="clear" w:color="auto" w:fill="auto"/>
            <w:vAlign w:val="center"/>
          </w:tcPr>
          <w:p w:rsidR="00AE0D8C" w:rsidRPr="00AE0D8C" w:rsidRDefault="00AE0D8C" w:rsidP="00EA720F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D8C">
              <w:rPr>
                <w:rFonts w:ascii="Times New Roman" w:hAnsi="Times New Roman"/>
                <w:sz w:val="24"/>
                <w:szCs w:val="24"/>
              </w:rPr>
              <w:t>2,43</w:t>
            </w:r>
          </w:p>
        </w:tc>
      </w:tr>
    </w:tbl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Все САВ отрицательно влияют на качество смазочных масел (ухудшат цвет, увеличивают нагарообразование, понижают смазывающую способность и т.д.) и подлежат удалению. В составе нефтяных битумов они обладают рядом ценных технических свойств и придают им качества, позволяющие широко использовать их. Главные направления их использования: дорожные покрытия, гидроизоляционные материалы, строительство, производство кровельных изделий, битумно-асфальтеновых лаков, пластиков, пеков, коксов, связующих для брикетирования углей, порошковых ионитов и др. </w:t>
      </w:r>
    </w:p>
    <w:p w:rsidR="00AE0D8C" w:rsidRPr="00AE0D8C" w:rsidRDefault="00AE0D8C" w:rsidP="00AE0D8C">
      <w:pPr>
        <w:ind w:firstLine="709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 xml:space="preserve">2.5. КЛАССИФИКАЦИЯ НЕФТЕЙ 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На начальном этапе развития нефтяной промышленности основным показателем качества нефти была плотность. Нефти делили на легкие (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380" w:dyaOrig="380">
          <v:shape id="_x0000_i1062" type="#_x0000_t75" style="width:18.4pt;height:18.4pt" o:ole="">
            <v:imagedata r:id="rId104" o:title=""/>
          </v:shape>
          <o:OLEObject Type="Embed" ProgID="Equation.3" ShapeID="_x0000_i1062" DrawAspect="Content" ObjectID="_1491745439" r:id="rId105"/>
        </w:object>
      </w:r>
      <w:r w:rsidRPr="00AE0D8C">
        <w:rPr>
          <w:rFonts w:ascii="Times New Roman" w:hAnsi="Times New Roman"/>
          <w:sz w:val="24"/>
          <w:szCs w:val="24"/>
        </w:rPr>
        <w:t>˂ 0,828) утяжеленные (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380" w:dyaOrig="380">
          <v:shape id="_x0000_i1063" type="#_x0000_t75" style="width:18.4pt;height:18.4pt" o:ole="">
            <v:imagedata r:id="rId104" o:title=""/>
          </v:shape>
          <o:OLEObject Type="Embed" ProgID="Equation.3" ShapeID="_x0000_i1063" DrawAspect="Content" ObjectID="_1491745440" r:id="rId106"/>
        </w:object>
      </w:r>
      <w:r w:rsidRPr="00AE0D8C">
        <w:rPr>
          <w:rFonts w:ascii="Times New Roman" w:hAnsi="Times New Roman"/>
          <w:sz w:val="24"/>
          <w:szCs w:val="24"/>
        </w:rPr>
        <w:t xml:space="preserve"> = 0,828 – 0,884) и тяжелые (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380" w:dyaOrig="380">
          <v:shape id="_x0000_i1064" type="#_x0000_t75" style="width:18.4pt;height:18.4pt" o:ole="">
            <v:imagedata r:id="rId104" o:title=""/>
          </v:shape>
          <o:OLEObject Type="Embed" ProgID="Equation.3" ShapeID="_x0000_i1064" DrawAspect="Content" ObjectID="_1491745441" r:id="rId107"/>
        </w:object>
      </w:r>
      <w:r w:rsidRPr="00AE0D8C">
        <w:rPr>
          <w:rFonts w:ascii="Times New Roman" w:hAnsi="Times New Roman"/>
          <w:sz w:val="24"/>
          <w:szCs w:val="24"/>
        </w:rPr>
        <w:t xml:space="preserve"> &gt; 0,884). В легких нефтях содержится больше бензиновых и керосиновых фракций и сравнительно мало серы и смол. Тяжелые нефти, напротив, характеризуются высоким содержанием смолисто-асфальтеновых веществ, гетероатомных </w:t>
      </w:r>
      <w:r w:rsidRPr="00AE0D8C">
        <w:rPr>
          <w:rFonts w:ascii="Times New Roman" w:hAnsi="Times New Roman"/>
          <w:sz w:val="24"/>
          <w:szCs w:val="24"/>
        </w:rPr>
        <w:lastRenderedPageBreak/>
        <w:t>соединений и потому мало пригодны для производства масел и дают относительно малый выход топливных фракций.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Предложено множество научных классификаций нефтей (химическая, генетическая, технологическая и др.), но до сих пор нет единой международной их классификации.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2.5.1. ХИМИЧЕСКАЯ КЛАССИФИКАЦИЯ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Горным бюро США предложен вариант химической классификации, в основу которого положена связь между плотностью и углеводородным составом легкой и тяжелой частей нефти.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Классификация, отражающая только химический состав нефти, предложена сотрудниками Грозненского нефтяного научно-исследовательского института (ГрозНИИ). За основу этой классификации принято преимущественное содержание в нефти одного или нескольких классов углеводородов. Различают шесть типов нефтей: парафиновые, парафино-нафтеновые, нафтеновые, парафино-нафтено-ароматические, нафтено-ароматические и ароматические.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парафиновых нефтях (типа узеньской, жетыбайской) все фракции содержат значительное количество алканов: бензиновые – не менее 50 %, а масляные – 20 % и более. Количество асфальтенов и смол исключительно мало.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парафино-нафтеновых нефтях и их фракциях преобладают алканы и циклоалканы, содержание аренов и смолисто-асфальтеновых веществ мало. К ним относят большинство нефтей Урало-Поволжья и Западной Сибири.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Для нафтеновых нефтей  характерно высокое (до 60 % и более) содержание циклоалканов во всех фракциях. Они содержат минимальное количество твердых парафинов, смол и асфальтенов. К нафтеновым относят нефти, добываемые в Баку (балаханская и сураханская) и на Эмбе (доссорская и макатская) и др.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парафино-нафтено-ароматических нефтях содержатся примерно в равных количествах углеводороды всех трех классов, твердых парафинов не более 1,5 %. Количество смол и асфальтенов 10%.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Нафтено-ароматические нефти характеризуются преобладающим содержанием цикланов и аренов, особенно в тяжелых фракциях. Алканы содержатся в небольшом количестве только в легких фракциях. В состав этих нефтей входят около 15-20 % смол и асфальтенов.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Ароматические нефти характеризуются преобладанием аренов во всех фракциях и высокой плотности. К ним относят прорвинскую в Казахстане и бугурусланскую в Татарстане.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2.5.2. ТЕХНОЛОГИЧЕСКАЯ КЛАССИФИКАЦИЯ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В нашей стране с 1991г. действовала технологическая классификация нефтей. Нефти подразделяются по следующим показателям на : 1) три класса (I-III) по содержанию серы и нефти (малосернистые, сернистые и высокосернистые), а также в бензине (н. к.-180°С), в реактивном (120-140°С) и дизельном топливе (240-350°С); 2) три типа по потенциальному </w:t>
      </w:r>
      <w:r w:rsidRPr="00AE0D8C">
        <w:rPr>
          <w:rFonts w:ascii="Times New Roman" w:hAnsi="Times New Roman"/>
          <w:sz w:val="24"/>
          <w:szCs w:val="24"/>
        </w:rPr>
        <w:lastRenderedPageBreak/>
        <w:t>содержанию фракций, перегоняющихся до 350°С (</w:t>
      </w:r>
      <w:r w:rsidR="00BB148C" w:rsidRPr="00AE0D8C">
        <w:rPr>
          <w:rFonts w:ascii="Times New Roman" w:hAnsi="Times New Roman"/>
          <w:position w:val="-12"/>
          <w:sz w:val="24"/>
          <w:szCs w:val="24"/>
        </w:rPr>
        <w:object w:dxaOrig="760" w:dyaOrig="360">
          <v:shape id="_x0000_i1080" type="#_x0000_t75" style="width:37.65pt;height:18.4pt" o:ole="">
            <v:imagedata r:id="rId108" o:title=""/>
          </v:shape>
          <o:OLEObject Type="Embed" ProgID="Equation.3" ShapeID="_x0000_i1080" DrawAspect="Content" ObjectID="_1491745442" r:id="rId109"/>
        </w:object>
      </w:r>
      <w:r w:rsidRPr="00AE0D8C">
        <w:rPr>
          <w:rFonts w:ascii="Times New Roman" w:hAnsi="Times New Roman"/>
          <w:sz w:val="24"/>
          <w:szCs w:val="24"/>
        </w:rPr>
        <w:t>); 4)четыре группы по потенциальному содержанию базовых масел (</w:t>
      </w:r>
      <w:r w:rsidR="00BB148C" w:rsidRPr="00AE0D8C">
        <w:rPr>
          <w:rFonts w:ascii="Times New Roman" w:hAnsi="Times New Roman"/>
          <w:position w:val="-10"/>
          <w:sz w:val="24"/>
          <w:szCs w:val="24"/>
        </w:rPr>
        <w:object w:dxaOrig="900" w:dyaOrig="340">
          <v:shape id="_x0000_i1081" type="#_x0000_t75" style="width:45.2pt;height:17.6pt" o:ole="">
            <v:imagedata r:id="rId110" o:title=""/>
          </v:shape>
          <o:OLEObject Type="Embed" ProgID="Equation.3" ShapeID="_x0000_i1081" DrawAspect="Content" ObjectID="_1491745443" r:id="rId111"/>
        </w:object>
      </w:r>
      <w:r w:rsidRPr="00AE0D8C">
        <w:rPr>
          <w:rFonts w:ascii="Times New Roman" w:hAnsi="Times New Roman"/>
          <w:sz w:val="24"/>
          <w:szCs w:val="24"/>
        </w:rPr>
        <w:t>) четыре подгруппы по качеству базовых масел, оцениваемому индексу вязкости (</w:t>
      </w:r>
      <w:r w:rsidR="00BB148C" w:rsidRPr="00AE0D8C">
        <w:rPr>
          <w:rFonts w:ascii="Times New Roman" w:hAnsi="Times New Roman"/>
          <w:position w:val="-10"/>
          <w:sz w:val="24"/>
          <w:szCs w:val="24"/>
        </w:rPr>
        <w:object w:dxaOrig="820" w:dyaOrig="340">
          <v:shape id="_x0000_i1082" type="#_x0000_t75" style="width:41pt;height:17.6pt" o:ole="">
            <v:imagedata r:id="rId112" o:title=""/>
          </v:shape>
          <o:OLEObject Type="Embed" ProgID="Equation.3" ShapeID="_x0000_i1082" DrawAspect="Content" ObjectID="_1491745444" r:id="rId113"/>
        </w:object>
      </w:r>
      <w:r w:rsidRPr="00AE0D8C">
        <w:rPr>
          <w:rFonts w:ascii="Times New Roman" w:hAnsi="Times New Roman"/>
          <w:sz w:val="24"/>
          <w:szCs w:val="24"/>
        </w:rPr>
        <w:t xml:space="preserve">); 5) три вида по содержанию парафинов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AE0D8C">
        <w:rPr>
          <w:rFonts w:ascii="Times New Roman" w:hAnsi="Times New Roman"/>
          <w:sz w:val="24"/>
          <w:szCs w:val="24"/>
        </w:rPr>
        <w:t>(</w:t>
      </w:r>
      <w:r w:rsidR="00BB148C" w:rsidRPr="00AE0D8C">
        <w:rPr>
          <w:rFonts w:ascii="Times New Roman" w:hAnsi="Times New Roman"/>
          <w:position w:val="-12"/>
          <w:sz w:val="24"/>
          <w:szCs w:val="24"/>
        </w:rPr>
        <w:object w:dxaOrig="820" w:dyaOrig="360">
          <v:shape id="_x0000_i1083" type="#_x0000_t75" style="width:41pt;height:18.4pt" o:ole="">
            <v:imagedata r:id="rId114" o:title=""/>
          </v:shape>
          <o:OLEObject Type="Embed" ProgID="Equation.3" ShapeID="_x0000_i1083" DrawAspect="Content" ObjectID="_1491745445" r:id="rId115"/>
        </w:object>
      </w:r>
      <w:r w:rsidRPr="00AE0D8C">
        <w:rPr>
          <w:rFonts w:ascii="Times New Roman" w:hAnsi="Times New Roman"/>
          <w:sz w:val="24"/>
          <w:szCs w:val="24"/>
        </w:rPr>
        <w:t>).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Из малопарафинистых нефтей вида </w:t>
      </w:r>
      <w:r w:rsidRPr="00AE0D8C">
        <w:rPr>
          <w:rFonts w:ascii="Times New Roman" w:hAnsi="Times New Roman"/>
          <w:position w:val="-10"/>
          <w:sz w:val="24"/>
          <w:szCs w:val="24"/>
        </w:rPr>
        <w:object w:dxaOrig="320" w:dyaOrig="340">
          <v:shape id="_x0000_i1065" type="#_x0000_t75" style="width:15.9pt;height:17.6pt" o:ole="">
            <v:imagedata r:id="rId116" o:title=""/>
          </v:shape>
          <o:OLEObject Type="Embed" ProgID="Equation.3" ShapeID="_x0000_i1065" DrawAspect="Content" ObjectID="_1491745446" r:id="rId117"/>
        </w:object>
      </w:r>
      <w:r w:rsidRPr="00AE0D8C">
        <w:rPr>
          <w:rFonts w:ascii="Times New Roman" w:hAnsi="Times New Roman"/>
          <w:sz w:val="24"/>
          <w:szCs w:val="24"/>
        </w:rPr>
        <w:t xml:space="preserve"> можно получить без депарафинизации реактивные и зимние дизельные топлива, а также дистиллятные базовые масла. Из парафинистых нефтей </w:t>
      </w:r>
      <w:r w:rsidRPr="00AE0D8C">
        <w:rPr>
          <w:rFonts w:ascii="Times New Roman" w:hAnsi="Times New Roman"/>
          <w:position w:val="-10"/>
          <w:sz w:val="24"/>
          <w:szCs w:val="24"/>
        </w:rPr>
        <w:object w:dxaOrig="360" w:dyaOrig="340">
          <v:shape id="_x0000_i1066" type="#_x0000_t75" style="width:18.4pt;height:17.6pt" o:ole="">
            <v:imagedata r:id="rId118" o:title=""/>
          </v:shape>
          <o:OLEObject Type="Embed" ProgID="Equation.3" ShapeID="_x0000_i1066" DrawAspect="Content" ObjectID="_1491745447" r:id="rId119"/>
        </w:object>
      </w:r>
      <w:r w:rsidRPr="00AE0D8C">
        <w:rPr>
          <w:rFonts w:ascii="Times New Roman" w:hAnsi="Times New Roman"/>
          <w:sz w:val="24"/>
          <w:szCs w:val="24"/>
        </w:rPr>
        <w:t xml:space="preserve"> без депарафинизации можно получить реактивное и лишь летнее дизельное топливо. Из высокопарафинистых нефтей </w:t>
      </w:r>
      <w:r w:rsidRPr="00AE0D8C">
        <w:rPr>
          <w:rFonts w:ascii="Times New Roman" w:hAnsi="Times New Roman"/>
          <w:position w:val="-12"/>
          <w:sz w:val="24"/>
          <w:szCs w:val="24"/>
        </w:rPr>
        <w:object w:dxaOrig="340" w:dyaOrig="360">
          <v:shape id="_x0000_i1067" type="#_x0000_t75" style="width:17.6pt;height:18.4pt" o:ole="">
            <v:imagedata r:id="rId120" o:title=""/>
          </v:shape>
          <o:OLEObject Type="Embed" ProgID="Equation.3" ShapeID="_x0000_i1067" DrawAspect="Content" ObjectID="_1491745448" r:id="rId121"/>
        </w:object>
      </w:r>
      <w:r w:rsidRPr="00AE0D8C">
        <w:rPr>
          <w:rFonts w:ascii="Times New Roman" w:hAnsi="Times New Roman"/>
          <w:sz w:val="24"/>
          <w:szCs w:val="24"/>
        </w:rPr>
        <w:t xml:space="preserve"> содержащих более 6% парафинов, даже летнее дизельное топливо можно получить только после депарафинизации.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настоящее время в России принята новая классификация нефтей по ГОСТ Р 51858-2002.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2.6. ПРОИЗВОДСТВЕННО-ПРОЕКТНАЯ ОЦЕНКА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E0D8C">
        <w:rPr>
          <w:rFonts w:ascii="Times New Roman" w:hAnsi="Times New Roman"/>
          <w:b/>
          <w:sz w:val="24"/>
          <w:szCs w:val="24"/>
        </w:rPr>
        <w:t>И ОСНОВНЫЕ  НАПРАВЛЕНИЯ ПЕРЕРАБОТКИ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НЕФТЕЙ И ГАЗОКОНДЕНСАТОВ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Нефтеперерабатывающая промышленность – отрасль тяжелой промышленности, охватывающая переработку нефти и газовых конденсатов и производство высококачественных товарных нефтепродуктов: моторных и энергетических потлив, смазочных масел, битумов, нефтяного кокса, парафинов, растворителей, элементной серы, термогазойля, нефтехимического сырья и товаров народного потребления.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Промышленная переработка нефти и газовых конденсатов на современных нефтеперерабатывающих заводах (НПЗ) осуществляется путем сложной многоступенчатой физической и химической переработки на отдельных или комбинированных крупнотоннажных технологических процессах (установках, цехах), предназначенных для получения различных компонентов или ассортиментов товарных нефтепродуктов. Существует три основных направления переработки нефти: 1) топливное; 2) топливно-масляное; 3) нефтехимическое или комплексное (топливно-нефтехимическое или  топливно-масляно-нефтехимическое).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При топливном направлении нефть и газовый конденсат в основном перерабатываются на моторные и котельные топлива. Переработка нефти на НПЗ топливного профиля может быть глубокой и неглубокой. Технологическая схема НПЗ с неглубокой переработкой отличается небольшим числом технологических процессов и небольшим ассортиментом нефтепродуктов. Выход моторных топлив по этой схеме не превышает 55-50 % мас. и зависит в основном от фракционного состава перерабатываемого нефтяного сырья. Выход котельного топлива составляет до 30-35 % мас.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При глубокой переработке стремится получить максимально высокий выход высококачественных моторных топлив путем вовлечения в их производство остатков атмосферной и вакуумной перегонки, а также нефтезаводских газов. Выход котельного топлива в этом варианте сводится к минимуму. Глубина переработки не</w:t>
      </w:r>
      <w:r>
        <w:rPr>
          <w:rFonts w:ascii="Times New Roman" w:hAnsi="Times New Roman"/>
          <w:sz w:val="24"/>
          <w:szCs w:val="24"/>
        </w:rPr>
        <w:t>фти при этом достигает до 70-90</w:t>
      </w:r>
      <w:r w:rsidRPr="00AE0D8C">
        <w:rPr>
          <w:rFonts w:ascii="Times New Roman" w:hAnsi="Times New Roman"/>
          <w:sz w:val="24"/>
          <w:szCs w:val="24"/>
        </w:rPr>
        <w:t>% мас.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lastRenderedPageBreak/>
        <w:t>По топливно-масляному варианту переработки нефти наряду с моторными топливами получают различные сорта смазочных масел. Для производства последних подбирают обычно нефти с высоким потенциальным содержанием масляных фракций с учетом их качества.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Нефтехимическая и комплексная переработка нефти предусматривает наряду с топливами и маслами производство сырья для нефтехимии (ароматические углеводороды, парафины, сырье для пиролиза и др.), а в ряде случаев – выпуск товарной продукции нефтехимического синтеза.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Выбор конкретного направления, соответственно схем переработки нефтяного сырья и ассортимента выпускаемых нефтепродуктов обуславливается прежде всего качеством нефти, ее отдельных топливных и масляных фракций, требованиями на качество товарных нефтепродуктов, а также потребностями в них данного экономического района. </w:t>
      </w:r>
    </w:p>
    <w:p w:rsidR="00AE0D8C" w:rsidRPr="00AE0D8C" w:rsidRDefault="00AE0D8C" w:rsidP="00AE0D8C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868545" cy="2922905"/>
            <wp:effectExtent l="19050" t="0" r="8255" b="0"/>
            <wp:docPr id="64" name="Рисунок 1" descr="1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115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545" cy="292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Предварительную оценку потенциальных возможностей нефтяного сырья можно осуществить по комплексу показателей, входящих в технологическую классификацию нефтей. Однако этих показателей недостаточно для определения набора технологических процессов, ассортимента и качества нефтепродуктов, для составления материального баланса установок, цехов и НПЗ в целом и т. д. Для этих целей в лабораториях научно-исследовательских институтов проводят тщательные исследования по установке всех требуемых для проектных разработок показателей качества исходного нефтяного сырья, его узких фракций, топливных и масляных компонентов, промежуточного сырья для технологических процессов и т. д. Результаты этих исследований представляют обычно в виде кривых зависимости ИТК, плотности, молекулярной массы, содержания серы, низкотемпературных и вязкостных свойств от фракционного состава нефти (рис. 2.1), а также в форме таблиц с показателями, характеризующими качество данной нефти, ее фракций и компонентов нефтепродуктов. Справочный материал с подробными данными по физико-химическим свойствам отечественных нефтей, имеющих промышленное значение, приводится в многотомном издании «Нефти СССР» (М.: Химия, 1971-1974).</w:t>
      </w:r>
    </w:p>
    <w:p w:rsidR="00AE0D8C" w:rsidRPr="00AE0D8C" w:rsidRDefault="00AE0D8C" w:rsidP="00AE0D8C">
      <w:pPr>
        <w:ind w:firstLine="709"/>
        <w:rPr>
          <w:rFonts w:ascii="Times New Roman" w:hAnsi="Times New Roman"/>
          <w:sz w:val="24"/>
          <w:szCs w:val="24"/>
        </w:rPr>
      </w:pPr>
    </w:p>
    <w:p w:rsidR="00AE0D8C" w:rsidRPr="00AE0D8C" w:rsidRDefault="00AE0D8C" w:rsidP="00AE0D8C">
      <w:pPr>
        <w:ind w:firstLine="709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lastRenderedPageBreak/>
        <w:t xml:space="preserve">2.7. КЛАССИФИКАЦИЯ </w:t>
      </w:r>
    </w:p>
    <w:p w:rsidR="00AE0D8C" w:rsidRPr="00AE0D8C" w:rsidRDefault="00AE0D8C" w:rsidP="00AE0D8C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E0D8C">
        <w:rPr>
          <w:rFonts w:ascii="Times New Roman" w:hAnsi="Times New Roman"/>
          <w:b/>
          <w:sz w:val="24"/>
          <w:szCs w:val="24"/>
        </w:rPr>
        <w:t>ПРОЦЕССОВ ПЕРЕРАБОТКИ НЕФТИ, ГАЗОВЫХ КОНДЕНСАТОВ И ГАЗОВ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Технологические процессы НПЗ принято классифицировать на следующие две группы: физические и химические.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1. Физическими (массообменными) процессами достигается разделение нефти на составляющие компоненты (топливные и масляные фракции) без химических превращений и удаление (извлечение) из фракций нефти, нефтяных остатков, масляных фракций, газоконденсатов и газов нежелательных компонентов (полициклических ароматических углеводородов, асфальтенов, тугоплавких парафинов), неуглеводородных соединений.</w:t>
      </w:r>
    </w:p>
    <w:p w:rsidR="00AE0D8C" w:rsidRPr="00AE0D8C" w:rsidRDefault="00AE0D8C" w:rsidP="00AE0D8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Физические процессы по типу массообмена можно подразделить на следующие типы:</w:t>
      </w:r>
    </w:p>
    <w:p w:rsidR="00AE0D8C" w:rsidRPr="00AE0D8C" w:rsidRDefault="00AE0D8C" w:rsidP="00AE0D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– Гравитационные (ЭЛОУ);</w:t>
      </w:r>
    </w:p>
    <w:p w:rsidR="00AE0D8C" w:rsidRPr="00AE0D8C" w:rsidRDefault="00AE0D8C" w:rsidP="00AE0D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– Ректификационные (АТ, АВТ, ГФУ и др.);</w:t>
      </w:r>
    </w:p>
    <w:p w:rsidR="00AE0D8C" w:rsidRPr="00AE0D8C" w:rsidRDefault="00AE0D8C" w:rsidP="00AE0D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– Экстракционные (деасфальтизация, селективная очистка, депарафинизация кристаллизацией);</w:t>
      </w:r>
    </w:p>
    <w:p w:rsidR="00AE0D8C" w:rsidRPr="00AE0D8C" w:rsidRDefault="00AE0D8C" w:rsidP="00AE0D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–Адсорбционные (депарафинизация цеолитная, контактная очистка);</w:t>
      </w:r>
    </w:p>
    <w:p w:rsidR="00AE0D8C" w:rsidRPr="00AE0D8C" w:rsidRDefault="00AE0D8C" w:rsidP="00AE0D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 xml:space="preserve">– Абсорбционные (АГФУ, очистка от </w:t>
      </w:r>
      <w:r w:rsidRPr="00AE0D8C">
        <w:rPr>
          <w:rFonts w:ascii="Times New Roman" w:hAnsi="Times New Roman"/>
          <w:position w:val="-10"/>
          <w:sz w:val="24"/>
          <w:szCs w:val="24"/>
        </w:rPr>
        <w:object w:dxaOrig="1020" w:dyaOrig="340">
          <v:shape id="_x0000_i1068" type="#_x0000_t75" style="width:51.05pt;height:17.6pt" o:ole="">
            <v:imagedata r:id="rId123" o:title=""/>
          </v:shape>
          <o:OLEObject Type="Embed" ProgID="Equation.3" ShapeID="_x0000_i1068" DrawAspect="Content" ObjectID="_1491745449" r:id="rId124"/>
        </w:object>
      </w:r>
      <w:r w:rsidRPr="00AE0D8C">
        <w:rPr>
          <w:rFonts w:ascii="Times New Roman" w:hAnsi="Times New Roman"/>
          <w:sz w:val="24"/>
          <w:szCs w:val="24"/>
        </w:rPr>
        <w:t>).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2. В химических процессах переработки нефтяного сырья осуществляется путем химических превращений с получением новых продуктов, не содержащихся в исходном сырье. Химические процессы, применяемые на современных НПЗ, по способу активации химических реакций подразделяют на: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2.1 – Термические;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2.2 – Каталитические.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Термические процессы по типу протекания химических реакций можно подразделить на следующие типы: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2.1.1 – Термодеструктивные (термический крекинг, висбрекинг, коксование, пиролиз, пекование, производство технического углерода и др.);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2.1.2 – Термоокислительные (производство битума, газификация кокса, углей и др.).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В термодеструктивных процессах протекают преимущественно реакции распада (крекинга) молекул сырья на низкомолекулярные, а также реакции конденсации с образованием высокомолекулярных продуктов, например кокса, пека и др.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Каталитические процессы по типу катализа можно классифицировать на следующие типы: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2.2.1 – Гетеролитические, протекающие по механизму кислотного катализа (каталитический крекинг, алкилирование, полимеризация, производство эфиров и др.);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2.2.2 – Гомолитические, протекающие по механизму окислительно-восстановительного (электронного) катализа (производство водорода и синтез газов, метанола, элементарной серы);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lastRenderedPageBreak/>
        <w:t>2.2.3 – Гидрокаталитические, протекающие по механизму бифункционального (сложного) катализа (гидроочистка, гидрообессеривание, гидрокрекинг, каталитический риформинг, изомеризация, гидродеароматизация, селективная гидродепарафинизация и др.).</w:t>
      </w:r>
    </w:p>
    <w:p w:rsidR="00AE0D8C" w:rsidRPr="00AE0D8C" w:rsidRDefault="00AE0D8C" w:rsidP="00AE0D8C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AE0D8C">
        <w:rPr>
          <w:rFonts w:ascii="Times New Roman" w:hAnsi="Times New Roman"/>
          <w:sz w:val="24"/>
          <w:szCs w:val="24"/>
        </w:rPr>
        <w:t>Головным процессов переработки нефти (после ЭЛОУ – электрообессоливающей установки) является атмосферная перегонка (АТ – атмосферная трубчатка), где отбираются топливные фракции (бензиновые, осветительного керосина, реактивного и дизельного топлив) и мазут, используемый либо как компонент котельного топлива, либо как сырье для последующей глубокой переработки. Топливные фракции атмосферной перегонки далее подвергаются облагораживанию: гидроочистке от гетероатомных соединений, а бензины – каталитическому риформингу с целью повышения их качества или получения индивидуальных ароматических углеводородов – сырья нефтехимии (бензола, толуола, ксилолов и др.). Из мазута путем вакуумной перегонки (на установках ВТ – вакуумной трубчатки) получают либо широкую фракцию (350-500 ̊С) вакуумного газойля – сырья для последующей переработки на установках каталитического крекинга или гидрокрекинга с получением главным образом компонентов моторных топлив, либо узкие дистиллятные масляные фракции, направляемые далее на последующие процессы очистки (селективная очистка, депарафинизация и др.). Остаток вакуумной перегонки – гудрон – служит при необходимости для получения остаточных масел или как сырье для глубокой переработки с получением дополнительного количества моторных топлив, нефтяного кокса, дорожного и строительного битума или же в качестве компонента котельного топлива.</w:t>
      </w:r>
    </w:p>
    <w:p w:rsidR="005F39A2" w:rsidRPr="00AE0D8C" w:rsidRDefault="005F39A2">
      <w:pPr>
        <w:rPr>
          <w:sz w:val="24"/>
          <w:szCs w:val="24"/>
        </w:rPr>
      </w:pPr>
    </w:p>
    <w:sectPr w:rsidR="005F39A2" w:rsidRPr="00AE0D8C" w:rsidSect="00AE0D8C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08"/>
  <w:drawingGridHorizontalSpacing w:val="110"/>
  <w:displayHorizontalDrawingGridEvery w:val="2"/>
  <w:characterSpacingControl w:val="doNotCompress"/>
  <w:compat/>
  <w:rsids>
    <w:rsidRoot w:val="00AE0D8C"/>
    <w:rsid w:val="005F39A2"/>
    <w:rsid w:val="00AE0D8C"/>
    <w:rsid w:val="00BB148C"/>
    <w:rsid w:val="00D06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D8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inal">
    <w:name w:val="final"/>
    <w:rsid w:val="00AE0D8C"/>
  </w:style>
  <w:style w:type="paragraph" w:styleId="a3">
    <w:name w:val="Balloon Text"/>
    <w:basedOn w:val="a"/>
    <w:link w:val="a4"/>
    <w:uiPriority w:val="99"/>
    <w:semiHidden/>
    <w:unhideWhenUsed/>
    <w:rsid w:val="00AE0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D8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9.bin"/><Relationship Id="rId42" Type="http://schemas.openxmlformats.org/officeDocument/2006/relationships/image" Target="media/image20.jpeg"/><Relationship Id="rId47" Type="http://schemas.openxmlformats.org/officeDocument/2006/relationships/image" Target="media/image23.wmf"/><Relationship Id="rId63" Type="http://schemas.openxmlformats.org/officeDocument/2006/relationships/oleObject" Target="embeddings/oleObject29.bin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39.bin"/><Relationship Id="rId89" Type="http://schemas.openxmlformats.org/officeDocument/2006/relationships/oleObject" Target="embeddings/oleObject41.bin"/><Relationship Id="rId112" Type="http://schemas.openxmlformats.org/officeDocument/2006/relationships/image" Target="media/image56.wmf"/><Relationship Id="rId16" Type="http://schemas.openxmlformats.org/officeDocument/2006/relationships/image" Target="media/image7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53" Type="http://schemas.openxmlformats.org/officeDocument/2006/relationships/image" Target="media/image26.jpeg"/><Relationship Id="rId58" Type="http://schemas.openxmlformats.org/officeDocument/2006/relationships/image" Target="media/image29.wmf"/><Relationship Id="rId74" Type="http://schemas.openxmlformats.org/officeDocument/2006/relationships/image" Target="media/image37.wmf"/><Relationship Id="rId79" Type="http://schemas.openxmlformats.org/officeDocument/2006/relationships/image" Target="media/image40.wmf"/><Relationship Id="rId102" Type="http://schemas.openxmlformats.org/officeDocument/2006/relationships/image" Target="media/image52.wmf"/><Relationship Id="rId123" Type="http://schemas.openxmlformats.org/officeDocument/2006/relationships/image" Target="media/image62.wmf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38.bin"/><Relationship Id="rId90" Type="http://schemas.openxmlformats.org/officeDocument/2006/relationships/image" Target="media/image46.wmf"/><Relationship Id="rId95" Type="http://schemas.openxmlformats.org/officeDocument/2006/relationships/oleObject" Target="embeddings/oleObject44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image" Target="media/image21.wmf"/><Relationship Id="rId48" Type="http://schemas.openxmlformats.org/officeDocument/2006/relationships/oleObject" Target="embeddings/oleObject22.bin"/><Relationship Id="rId56" Type="http://schemas.openxmlformats.org/officeDocument/2006/relationships/image" Target="media/image28.wmf"/><Relationship Id="rId64" Type="http://schemas.openxmlformats.org/officeDocument/2006/relationships/oleObject" Target="embeddings/oleObject30.bin"/><Relationship Id="rId69" Type="http://schemas.openxmlformats.org/officeDocument/2006/relationships/image" Target="media/image34.jpeg"/><Relationship Id="rId77" Type="http://schemas.openxmlformats.org/officeDocument/2006/relationships/image" Target="media/image39.wmf"/><Relationship Id="rId100" Type="http://schemas.openxmlformats.org/officeDocument/2006/relationships/image" Target="media/image51.wmf"/><Relationship Id="rId105" Type="http://schemas.openxmlformats.org/officeDocument/2006/relationships/oleObject" Target="embeddings/oleObject49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9.wmf"/><Relationship Id="rId126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image" Target="media/image25.wmf"/><Relationship Id="rId72" Type="http://schemas.openxmlformats.org/officeDocument/2006/relationships/image" Target="media/image36.wmf"/><Relationship Id="rId80" Type="http://schemas.openxmlformats.org/officeDocument/2006/relationships/oleObject" Target="embeddings/oleObject37.bin"/><Relationship Id="rId85" Type="http://schemas.openxmlformats.org/officeDocument/2006/relationships/image" Target="media/image43.jpeg"/><Relationship Id="rId93" Type="http://schemas.openxmlformats.org/officeDocument/2006/relationships/oleObject" Target="embeddings/oleObject43.bin"/><Relationship Id="rId98" Type="http://schemas.openxmlformats.org/officeDocument/2006/relationships/image" Target="media/image50.wmf"/><Relationship Id="rId121" Type="http://schemas.openxmlformats.org/officeDocument/2006/relationships/oleObject" Target="embeddings/oleObject58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7.bin"/><Relationship Id="rId67" Type="http://schemas.openxmlformats.org/officeDocument/2006/relationships/image" Target="media/image33.wmf"/><Relationship Id="rId103" Type="http://schemas.openxmlformats.org/officeDocument/2006/relationships/oleObject" Target="embeddings/oleObject48.bin"/><Relationship Id="rId108" Type="http://schemas.openxmlformats.org/officeDocument/2006/relationships/image" Target="media/image54.wmf"/><Relationship Id="rId116" Type="http://schemas.openxmlformats.org/officeDocument/2006/relationships/image" Target="media/image58.wmf"/><Relationship Id="rId124" Type="http://schemas.openxmlformats.org/officeDocument/2006/relationships/oleObject" Target="embeddings/oleObject59.bin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7.wmf"/><Relationship Id="rId62" Type="http://schemas.openxmlformats.org/officeDocument/2006/relationships/image" Target="media/image31.wmf"/><Relationship Id="rId70" Type="http://schemas.openxmlformats.org/officeDocument/2006/relationships/image" Target="media/image35.wmf"/><Relationship Id="rId75" Type="http://schemas.openxmlformats.org/officeDocument/2006/relationships/oleObject" Target="embeddings/oleObject35.bin"/><Relationship Id="rId83" Type="http://schemas.openxmlformats.org/officeDocument/2006/relationships/image" Target="media/image42.wmf"/><Relationship Id="rId88" Type="http://schemas.openxmlformats.org/officeDocument/2006/relationships/image" Target="media/image45.wmf"/><Relationship Id="rId91" Type="http://schemas.openxmlformats.org/officeDocument/2006/relationships/oleObject" Target="embeddings/oleObject42.bin"/><Relationship Id="rId96" Type="http://schemas.openxmlformats.org/officeDocument/2006/relationships/image" Target="media/image49.wmf"/><Relationship Id="rId111" Type="http://schemas.openxmlformats.org/officeDocument/2006/relationships/oleObject" Target="embeddings/oleObject5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57" Type="http://schemas.openxmlformats.org/officeDocument/2006/relationships/oleObject" Target="embeddings/oleObject26.bin"/><Relationship Id="rId106" Type="http://schemas.openxmlformats.org/officeDocument/2006/relationships/oleObject" Target="embeddings/oleObject50.bin"/><Relationship Id="rId114" Type="http://schemas.openxmlformats.org/officeDocument/2006/relationships/image" Target="media/image57.wmf"/><Relationship Id="rId119" Type="http://schemas.openxmlformats.org/officeDocument/2006/relationships/oleObject" Target="embeddings/oleObject57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image" Target="media/image30.wmf"/><Relationship Id="rId65" Type="http://schemas.openxmlformats.org/officeDocument/2006/relationships/image" Target="media/image32.wmf"/><Relationship Id="rId73" Type="http://schemas.openxmlformats.org/officeDocument/2006/relationships/oleObject" Target="embeddings/oleObject34.bin"/><Relationship Id="rId78" Type="http://schemas.openxmlformats.org/officeDocument/2006/relationships/oleObject" Target="embeddings/oleObject36.bin"/><Relationship Id="rId81" Type="http://schemas.openxmlformats.org/officeDocument/2006/relationships/image" Target="media/image41.wmf"/><Relationship Id="rId86" Type="http://schemas.openxmlformats.org/officeDocument/2006/relationships/image" Target="media/image44.wmf"/><Relationship Id="rId94" Type="http://schemas.openxmlformats.org/officeDocument/2006/relationships/image" Target="media/image48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image" Target="media/image61.jpeg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6.wmf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5.bin"/><Relationship Id="rId76" Type="http://schemas.openxmlformats.org/officeDocument/2006/relationships/image" Target="media/image38.jpeg"/><Relationship Id="rId97" Type="http://schemas.openxmlformats.org/officeDocument/2006/relationships/oleObject" Target="embeddings/oleObject45.bin"/><Relationship Id="rId104" Type="http://schemas.openxmlformats.org/officeDocument/2006/relationships/image" Target="media/image53.wmf"/><Relationship Id="rId120" Type="http://schemas.openxmlformats.org/officeDocument/2006/relationships/image" Target="media/image60.wmf"/><Relationship Id="rId125" Type="http://schemas.openxmlformats.org/officeDocument/2006/relationships/fontTable" Target="fontTable.xml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7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image" Target="media/image22.w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0.bin"/><Relationship Id="rId110" Type="http://schemas.openxmlformats.org/officeDocument/2006/relationships/image" Target="media/image55.wmf"/><Relationship Id="rId115" Type="http://schemas.openxmlformats.org/officeDocument/2006/relationships/oleObject" Target="embeddings/oleObject5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7677</Words>
  <Characters>43764</Characters>
  <Application>Microsoft Office Word</Application>
  <DocSecurity>0</DocSecurity>
  <Lines>364</Lines>
  <Paragraphs>102</Paragraphs>
  <ScaleCrop>false</ScaleCrop>
  <Company/>
  <LinksUpToDate>false</LinksUpToDate>
  <CharactersWithSpaces>51339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4</cp:revision>
  <dcterms:created xsi:type="dcterms:W3CDTF">2015-04-28T10:50:00Z</dcterms:created>
  <dcterms:modified xsi:type="dcterms:W3CDTF">2015-04-28T10:54:00Z</dcterms:modified>
</cp:coreProperties>
</file>